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78D6" w14:textId="77777777" w:rsidR="00AF484A" w:rsidRDefault="00281350">
      <w:pPr>
        <w:rPr>
          <w:rFonts w:ascii="Arial Narrow" w:hAnsi="Arial Narrow"/>
        </w:rPr>
      </w:pPr>
      <w:r>
        <w:rPr>
          <w:noProof/>
        </w:rPr>
        <w:drawing>
          <wp:anchor distT="0" distB="0" distL="114300" distR="114300" simplePos="0" relativeHeight="251666432" behindDoc="0" locked="0" layoutInCell="1" allowOverlap="1" wp14:anchorId="5F603BEB" wp14:editId="09E77D7B">
            <wp:simplePos x="0" y="0"/>
            <wp:positionH relativeFrom="page">
              <wp:posOffset>114935</wp:posOffset>
            </wp:positionH>
            <wp:positionV relativeFrom="page">
              <wp:posOffset>294640</wp:posOffset>
            </wp:positionV>
            <wp:extent cx="1760855" cy="1320800"/>
            <wp:effectExtent l="0" t="0" r="0" b="0"/>
            <wp:wrapSquare wrapText="bothSides"/>
            <wp:docPr id="8" name="Image 11" descr="Une image contenant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capture d’écran, texte&#10;&#10;Description générée automatiquement"/>
                    <pic:cNvPicPr>
                      <a:picLocks noChangeAspect="1"/>
                    </pic:cNvPicPr>
                  </pic:nvPicPr>
                  <pic:blipFill>
                    <a:blip r:embed="rId8"/>
                    <a:stretch>
                      <a:fillRect/>
                    </a:stretch>
                  </pic:blipFill>
                  <pic:spPr>
                    <a:xfrm>
                      <a:off x="0" y="0"/>
                      <a:ext cx="1760855" cy="1320800"/>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10C57E0D" wp14:editId="03816C34">
                <wp:simplePos x="0" y="0"/>
                <wp:positionH relativeFrom="page">
                  <wp:posOffset>-73660</wp:posOffset>
                </wp:positionH>
                <wp:positionV relativeFrom="paragraph">
                  <wp:posOffset>-360045</wp:posOffset>
                </wp:positionV>
                <wp:extent cx="7640320" cy="103505"/>
                <wp:effectExtent l="0" t="0" r="5080" b="23495"/>
                <wp:wrapNone/>
                <wp:docPr id="5" name="Rectangle 9"/>
                <wp:cNvGraphicFramePr/>
                <a:graphic xmlns:a="http://schemas.openxmlformats.org/drawingml/2006/main">
                  <a:graphicData uri="http://schemas.microsoft.com/office/word/2010/wordprocessingShape">
                    <wps:wsp>
                      <wps:cNvSpPr/>
                      <wps:spPr>
                        <a:xfrm>
                          <a:off x="0" y="0"/>
                          <a:ext cx="7640320" cy="103762"/>
                        </a:xfrm>
                        <a:prstGeom prst="rect">
                          <a:avLst/>
                        </a:prstGeom>
                        <a:solidFill>
                          <a:srgbClr val="28347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3C1958" id="Rectangle 9" o:spid="_x0000_s1026" style="position:absolute;margin-left:-5.8pt;margin-top:-28.35pt;width:601.6pt;height:8.15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" fillcolor="#283478" stroked="f" strokeweight="1pt">
                <w10:wrap anchorx="page"/>
              </v:rect>
            </w:pict>
          </mc:Fallback>
        </mc:AlternateContent>
      </w:r>
    </w:p>
    <w:p w14:paraId="03638B0E" w14:textId="77777777" w:rsidR="00AF484A" w:rsidRDefault="00281350">
      <w:pPr>
        <w:rPr>
          <w:rFonts w:ascii="Arial Narrow" w:hAnsi="Arial Narrow" w:cs="Arial"/>
        </w:rPr>
      </w:pPr>
      <w:r>
        <w:rPr>
          <w:noProof/>
        </w:rPr>
        <mc:AlternateContent>
          <mc:Choice Requires="wps">
            <w:drawing>
              <wp:anchor distT="45720" distB="45720" distL="114300" distR="114300" simplePos="0" relativeHeight="251660288" behindDoc="0" locked="0" layoutInCell="1" allowOverlap="1" wp14:anchorId="1720B234" wp14:editId="5C6127EA">
                <wp:simplePos x="0" y="0"/>
                <wp:positionH relativeFrom="margin">
                  <wp:align>left</wp:align>
                </wp:positionH>
                <wp:positionV relativeFrom="paragraph">
                  <wp:posOffset>4485005</wp:posOffset>
                </wp:positionV>
                <wp:extent cx="6731000" cy="602615"/>
                <wp:effectExtent l="0" t="0" r="0" b="698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404620"/>
                        </a:xfrm>
                        <a:prstGeom prst="rect">
                          <a:avLst/>
                        </a:prstGeom>
                        <a:solidFill>
                          <a:srgbClr val="FFFFFF"/>
                        </a:solidFill>
                        <a:ln w="9525">
                          <a:noFill/>
                          <a:miter lim="800000"/>
                        </a:ln>
                        <a:effectLst/>
                      </wps:spPr>
                      <wps:txbx>
                        <w:txbxContent>
                          <w:p w14:paraId="5EA66AA6" w14:textId="77777777" w:rsidR="00AF484A" w:rsidRDefault="00AF484A">
                            <w:pPr>
                              <w:jc w:val="center"/>
                              <w:rPr>
                                <w:rFonts w:ascii="Arial" w:hAnsi="Arial" w:cs="Arial"/>
                                <w:b/>
                                <w:color w:val="283478"/>
                                <w:sz w:val="52"/>
                                <w:szCs w:val="5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20B234" id="_x0000_t202" coordsize="21600,21600" o:spt="202" path="m,l,21600r21600,l21600,xe">
                <v:stroke joinstyle="miter"/>
                <v:path gradientshapeok="t" o:connecttype="rect"/>
              </v:shapetype>
              <v:shape id="Zone de texte 2" o:spid="_x0000_s1026" type="#_x0000_t202" style="position:absolute;margin-left:0;margin-top:353.15pt;width:530pt;height:47.4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" stroked="f">
                <v:textbox style="mso-fit-shape-to-text:t">
                  <w:txbxContent>
                    <w:p w14:paraId="5EA66AA6" w14:textId="77777777" w:rsidR="00AF484A" w:rsidRDefault="00AF484A">
                      <w:pPr>
                        <w:jc w:val="center"/>
                        <w:rPr>
                          <w:rFonts w:ascii="Arial" w:hAnsi="Arial" w:cs="Arial"/>
                          <w:b/>
                          <w:color w:val="283478"/>
                          <w:sz w:val="52"/>
                          <w:szCs w:val="52"/>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453099" wp14:editId="77662955">
                <wp:simplePos x="0" y="0"/>
                <wp:positionH relativeFrom="page">
                  <wp:posOffset>1706880</wp:posOffset>
                </wp:positionH>
                <wp:positionV relativeFrom="paragraph">
                  <wp:posOffset>65405</wp:posOffset>
                </wp:positionV>
                <wp:extent cx="4165600" cy="652145"/>
                <wp:effectExtent l="0" t="0" r="0" b="8255"/>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1404620"/>
                        </a:xfrm>
                        <a:prstGeom prst="rect">
                          <a:avLst/>
                        </a:prstGeom>
                        <a:solidFill>
                          <a:srgbClr val="FFFFFF"/>
                        </a:solidFill>
                        <a:ln w="9525">
                          <a:noFill/>
                          <a:miter lim="800000"/>
                        </a:ln>
                        <a:effectLst/>
                      </wps:spPr>
                      <wps:txbx>
                        <w:txbxContent>
                          <w:p w14:paraId="743AA655" w14:textId="77777777" w:rsidR="00AF484A" w:rsidRDefault="00281350">
                            <w:pPr>
                              <w:spacing w:line="240" w:lineRule="auto"/>
                              <w:rPr>
                                <w:rFonts w:ascii="Arial" w:hAnsi="Arial" w:cs="Arial"/>
                                <w:bCs/>
                                <w:color w:val="283478"/>
                                <w:sz w:val="28"/>
                                <w:szCs w:val="28"/>
                              </w:rPr>
                            </w:pPr>
                            <w:r>
                              <w:rPr>
                                <w:rFonts w:ascii="Arial" w:hAnsi="Arial" w:cs="Arial"/>
                                <w:bCs/>
                                <w:color w:val="283478"/>
                                <w:sz w:val="28"/>
                                <w:szCs w:val="28"/>
                              </w:rPr>
                              <w:t>Groupement Interbancaire Monétique de</w:t>
                            </w:r>
                          </w:p>
                          <w:p w14:paraId="577F7DCD" w14:textId="77777777" w:rsidR="00AF484A" w:rsidRDefault="00281350">
                            <w:pPr>
                              <w:spacing w:line="180" w:lineRule="auto"/>
                              <w:rPr>
                                <w:rFonts w:ascii="Arial" w:hAnsi="Arial" w:cs="Arial"/>
                                <w:bCs/>
                                <w:color w:val="283478"/>
                                <w:sz w:val="28"/>
                                <w:szCs w:val="28"/>
                              </w:rPr>
                            </w:pPr>
                            <w:r>
                              <w:rPr>
                                <w:rFonts w:ascii="Arial" w:hAnsi="Arial" w:cs="Arial"/>
                                <w:bCs/>
                                <w:color w:val="283478"/>
                                <w:sz w:val="28"/>
                                <w:szCs w:val="28"/>
                              </w:rPr>
                              <w:t>l’Union Economique et Monétaire Ouest Africaine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453099" id="_x0000_s1027" type="#_x0000_t202" style="position:absolute;margin-left:134.4pt;margin-top:5.15pt;width:328pt;height:51.35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" stroked="f">
                <v:textbox style="mso-fit-shape-to-text:t">
                  <w:txbxContent>
                    <w:p w14:paraId="743AA655" w14:textId="77777777" w:rsidR="00AF484A" w:rsidRDefault="00281350">
                      <w:pPr>
                        <w:spacing w:line="240" w:lineRule="auto"/>
                        <w:rPr>
                          <w:rFonts w:ascii="Arial" w:hAnsi="Arial" w:cs="Arial"/>
                          <w:bCs/>
                          <w:color w:val="283478"/>
                          <w:sz w:val="28"/>
                          <w:szCs w:val="28"/>
                        </w:rPr>
                      </w:pPr>
                      <w:r>
                        <w:rPr>
                          <w:rFonts w:ascii="Arial" w:hAnsi="Arial" w:cs="Arial"/>
                          <w:bCs/>
                          <w:color w:val="283478"/>
                          <w:sz w:val="28"/>
                          <w:szCs w:val="28"/>
                        </w:rPr>
                        <w:t>Groupement Interbancaire Monétique de</w:t>
                      </w:r>
                    </w:p>
                    <w:p w14:paraId="577F7DCD" w14:textId="77777777" w:rsidR="00AF484A" w:rsidRDefault="00281350">
                      <w:pPr>
                        <w:spacing w:line="180" w:lineRule="auto"/>
                        <w:rPr>
                          <w:rFonts w:ascii="Arial" w:hAnsi="Arial" w:cs="Arial"/>
                          <w:bCs/>
                          <w:color w:val="283478"/>
                          <w:sz w:val="28"/>
                          <w:szCs w:val="28"/>
                        </w:rPr>
                      </w:pPr>
                      <w:r>
                        <w:rPr>
                          <w:rFonts w:ascii="Arial" w:hAnsi="Arial" w:cs="Arial"/>
                          <w:bCs/>
                          <w:color w:val="283478"/>
                          <w:sz w:val="28"/>
                          <w:szCs w:val="28"/>
                        </w:rPr>
                        <w:t>l’Union Economique et Monétaire Ouest Africaine</w:t>
                      </w:r>
                    </w:p>
                  </w:txbxContent>
                </v:textbox>
                <w10:wrap type="square" anchorx="page"/>
              </v:shape>
            </w:pict>
          </mc:Fallback>
        </mc:AlternateContent>
      </w:r>
      <w:r>
        <w:rPr>
          <w:noProof/>
        </w:rPr>
        <mc:AlternateContent>
          <mc:Choice Requires="wps">
            <w:drawing>
              <wp:anchor distT="45720" distB="45720" distL="114300" distR="114300" simplePos="0" relativeHeight="251665408" behindDoc="0" locked="0" layoutInCell="1" allowOverlap="1" wp14:anchorId="254C9439" wp14:editId="05DF0961">
                <wp:simplePos x="0" y="0"/>
                <wp:positionH relativeFrom="margin">
                  <wp:posOffset>4575175</wp:posOffset>
                </wp:positionH>
                <wp:positionV relativeFrom="page">
                  <wp:posOffset>9890760</wp:posOffset>
                </wp:positionV>
                <wp:extent cx="2300605" cy="366395"/>
                <wp:effectExtent l="0" t="0" r="10795" b="1460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375285"/>
                        </a:xfrm>
                        <a:prstGeom prst="rect">
                          <a:avLst/>
                        </a:prstGeom>
                        <a:solidFill>
                          <a:srgbClr val="FFFFFF"/>
                        </a:solidFill>
                        <a:ln w="9525">
                          <a:noFill/>
                          <a:miter lim="800000"/>
                        </a:ln>
                        <a:effectLst/>
                      </wps:spPr>
                      <wps:txbx>
                        <w:txbxContent>
                          <w:p w14:paraId="1D7EBDAF" w14:textId="77777777" w:rsidR="00AF484A" w:rsidRDefault="00281350">
                            <w:pPr>
                              <w:rPr>
                                <w:rFonts w:ascii="Arial" w:hAnsi="Arial" w:cs="Arial"/>
                                <w:bCs/>
                                <w:color w:val="283478"/>
                              </w:rPr>
                            </w:pPr>
                            <w:r>
                              <w:rPr>
                                <w:rFonts w:ascii="Arial" w:hAnsi="Arial" w:cs="Arial"/>
                                <w:bCs/>
                                <w:color w:val="283478"/>
                              </w:rPr>
                              <w:t>Une fierté africaine depuis 20 ans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54C9439" id="_x0000_s1028" type="#_x0000_t202" style="position:absolute;margin-left:360.25pt;margin-top:778.8pt;width:181.15pt;height:2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" stroked="f">
                <v:textbox style="mso-fit-shape-to-text:t">
                  <w:txbxContent>
                    <w:p w14:paraId="1D7EBDAF" w14:textId="77777777" w:rsidR="00AF484A" w:rsidRDefault="00281350">
                      <w:pPr>
                        <w:rPr>
                          <w:rFonts w:ascii="Arial" w:hAnsi="Arial" w:cs="Arial"/>
                          <w:bCs/>
                          <w:color w:val="283478"/>
                        </w:rPr>
                      </w:pPr>
                      <w:r>
                        <w:rPr>
                          <w:rFonts w:ascii="Arial" w:hAnsi="Arial" w:cs="Arial"/>
                          <w:bCs/>
                          <w:color w:val="283478"/>
                        </w:rPr>
                        <w:t>Une fierté africaine depuis 20 ans</w:t>
                      </w:r>
                    </w:p>
                  </w:txbxContent>
                </v:textbox>
                <w10:wrap type="square" anchorx="margin" anchory="page"/>
              </v:shape>
            </w:pict>
          </mc:Fallback>
        </mc:AlternateContent>
      </w:r>
      <w:r>
        <w:rPr>
          <w:noProof/>
        </w:rPr>
        <mc:AlternateContent>
          <mc:Choice Requires="wps">
            <w:drawing>
              <wp:anchor distT="0" distB="0" distL="114300" distR="114300" simplePos="0" relativeHeight="251664384" behindDoc="0" locked="0" layoutInCell="1" allowOverlap="1" wp14:anchorId="58778A54" wp14:editId="7D02AC47">
                <wp:simplePos x="0" y="0"/>
                <wp:positionH relativeFrom="column">
                  <wp:posOffset>4337050</wp:posOffset>
                </wp:positionH>
                <wp:positionV relativeFrom="paragraph">
                  <wp:posOffset>9268460</wp:posOffset>
                </wp:positionV>
                <wp:extent cx="287655" cy="199390"/>
                <wp:effectExtent l="0" t="0" r="17145" b="3810"/>
                <wp:wrapNone/>
                <wp:docPr id="6" name="Rectangle 10"/>
                <wp:cNvGraphicFramePr/>
                <a:graphic xmlns:a="http://schemas.openxmlformats.org/drawingml/2006/main">
                  <a:graphicData uri="http://schemas.microsoft.com/office/word/2010/wordprocessingShape">
                    <wps:wsp>
                      <wps:cNvSpPr/>
                      <wps:spPr>
                        <a:xfrm>
                          <a:off x="0" y="0"/>
                          <a:ext cx="287655" cy="199390"/>
                        </a:xfrm>
                        <a:prstGeom prst="rect">
                          <a:avLst/>
                        </a:prstGeom>
                        <a:solidFill>
                          <a:srgbClr val="28347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743D2C" id="Rectangle 10" o:spid="_x0000_s1026" style="position:absolute;margin-left:341.5pt;margin-top:729.8pt;width:22.65pt;height:15.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" fillcolor="#283478" stroked="f" strokeweight="1pt"/>
            </w:pict>
          </mc:Fallback>
        </mc:AlternateContent>
      </w:r>
    </w:p>
    <w:p w14:paraId="73367A29" w14:textId="77777777" w:rsidR="00AF484A" w:rsidRDefault="00AF484A">
      <w:pPr>
        <w:rPr>
          <w:rFonts w:ascii="Arial Narrow" w:hAnsi="Arial Narrow" w:cs="Arial"/>
        </w:rPr>
      </w:pPr>
    </w:p>
    <w:p w14:paraId="5FE7FA47" w14:textId="77777777" w:rsidR="00AF484A" w:rsidRDefault="00AF484A">
      <w:pPr>
        <w:rPr>
          <w:rFonts w:ascii="Arial Narrow" w:hAnsi="Arial Narrow" w:cs="Arial"/>
        </w:rPr>
      </w:pPr>
    </w:p>
    <w:p w14:paraId="5EDB9EC7" w14:textId="77777777" w:rsidR="00AF484A" w:rsidRDefault="00AF484A">
      <w:pPr>
        <w:rPr>
          <w:rFonts w:ascii="Arial Narrow" w:hAnsi="Arial Narrow" w:cs="Arial"/>
        </w:rPr>
      </w:pPr>
    </w:p>
    <w:p w14:paraId="552B61BE" w14:textId="77777777" w:rsidR="00AF484A" w:rsidRDefault="00AF484A">
      <w:pPr>
        <w:rPr>
          <w:rFonts w:ascii="Arial Narrow" w:hAnsi="Arial Narrow" w:cs="Arial"/>
        </w:rPr>
      </w:pPr>
    </w:p>
    <w:p w14:paraId="53AC0EA2" w14:textId="77777777" w:rsidR="00AF484A" w:rsidRDefault="00281350">
      <w:pPr>
        <w:rPr>
          <w:rFonts w:ascii="Arial Narrow" w:hAnsi="Arial Narrow" w:cs="Arial"/>
        </w:rPr>
      </w:pPr>
      <w:r>
        <w:rPr>
          <w:noProof/>
        </w:rPr>
        <mc:AlternateContent>
          <mc:Choice Requires="wps">
            <w:drawing>
              <wp:anchor distT="45720" distB="45720" distL="114300" distR="114300" simplePos="0" relativeHeight="251668480" behindDoc="0" locked="0" layoutInCell="1" allowOverlap="1" wp14:anchorId="6A9811FB" wp14:editId="406157FA">
                <wp:simplePos x="0" y="0"/>
                <wp:positionH relativeFrom="margin">
                  <wp:posOffset>630555</wp:posOffset>
                </wp:positionH>
                <wp:positionV relativeFrom="paragraph">
                  <wp:posOffset>240030</wp:posOffset>
                </wp:positionV>
                <wp:extent cx="5956300" cy="373380"/>
                <wp:effectExtent l="0" t="0" r="6350" b="762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73380"/>
                        </a:xfrm>
                        <a:prstGeom prst="rect">
                          <a:avLst/>
                        </a:prstGeom>
                        <a:solidFill>
                          <a:srgbClr val="FFFFFF"/>
                        </a:solidFill>
                        <a:ln w="9525">
                          <a:noFill/>
                          <a:miter lim="800000"/>
                        </a:ln>
                        <a:effectLst/>
                      </wps:spPr>
                      <wps:txbx>
                        <w:txbxContent>
                          <w:p w14:paraId="62328EA0" w14:textId="77777777" w:rsidR="00AF484A" w:rsidRDefault="00281350">
                            <w:pPr>
                              <w:shd w:val="clear" w:color="auto" w:fill="283478"/>
                              <w:jc w:val="center"/>
                              <w:rPr>
                                <w:rFonts w:ascii="Arial" w:hAnsi="Arial" w:cs="Arial"/>
                                <w:b/>
                                <w:bCs/>
                                <w:color w:val="FFFFFF"/>
                                <w:sz w:val="32"/>
                                <w:szCs w:val="32"/>
                              </w:rPr>
                            </w:pPr>
                            <w:r>
                              <w:rPr>
                                <w:rFonts w:ascii="Arial" w:hAnsi="Arial" w:cs="Arial"/>
                                <w:b/>
                                <w:bCs/>
                                <w:color w:val="FFFFFF"/>
                                <w:sz w:val="32"/>
                                <w:szCs w:val="32"/>
                              </w:rPr>
                              <w:t xml:space="preserve">TERMES DE REFERENCE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A9811FB" id="_x0000_s1029" type="#_x0000_t202" style="position:absolute;margin-left:49.65pt;margin-top:18.9pt;width:469pt;height:29.4pt;z-index:251668480;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" stroked="f">
                <v:textbox>
                  <w:txbxContent>
                    <w:p w14:paraId="62328EA0" w14:textId="77777777" w:rsidR="00AF484A" w:rsidRDefault="00281350">
                      <w:pPr>
                        <w:shd w:val="clear" w:color="auto" w:fill="283478"/>
                        <w:jc w:val="center"/>
                        <w:rPr>
                          <w:rFonts w:ascii="Arial" w:hAnsi="Arial" w:cs="Arial"/>
                          <w:b/>
                          <w:bCs/>
                          <w:color w:val="FFFFFF"/>
                          <w:sz w:val="32"/>
                          <w:szCs w:val="32"/>
                        </w:rPr>
                      </w:pPr>
                      <w:r>
                        <w:rPr>
                          <w:rFonts w:ascii="Arial" w:hAnsi="Arial" w:cs="Arial"/>
                          <w:b/>
                          <w:bCs/>
                          <w:color w:val="FFFFFF"/>
                          <w:sz w:val="32"/>
                          <w:szCs w:val="32"/>
                        </w:rPr>
                        <w:t xml:space="preserve">TERMES DE REFERENCE </w:t>
                      </w:r>
                    </w:p>
                  </w:txbxContent>
                </v:textbox>
                <w10:wrap type="square" anchorx="margin"/>
              </v:shape>
            </w:pict>
          </mc:Fallback>
        </mc:AlternateContent>
      </w:r>
    </w:p>
    <w:p w14:paraId="4E6478CE" w14:textId="77777777" w:rsidR="00AF484A" w:rsidRDefault="00AF484A">
      <w:pPr>
        <w:rPr>
          <w:rFonts w:ascii="Arial Narrow" w:hAnsi="Arial Narrow" w:cs="Arial"/>
        </w:rPr>
      </w:pPr>
    </w:p>
    <w:p w14:paraId="2E9C02FC" w14:textId="77777777" w:rsidR="00AF484A" w:rsidRDefault="00281350">
      <w:pPr>
        <w:rPr>
          <w:rFonts w:ascii="Arial Narrow" w:hAnsi="Arial Narrow" w:cs="Arial"/>
        </w:rPr>
      </w:pPr>
      <w:r>
        <w:rPr>
          <w:noProof/>
        </w:rPr>
        <mc:AlternateContent>
          <mc:Choice Requires="wps">
            <w:drawing>
              <wp:anchor distT="45720" distB="45720" distL="114300" distR="114300" simplePos="0" relativeHeight="251659264" behindDoc="0" locked="0" layoutInCell="1" allowOverlap="1" wp14:anchorId="23B69589" wp14:editId="2E937DAA">
                <wp:simplePos x="0" y="0"/>
                <wp:positionH relativeFrom="margin">
                  <wp:posOffset>630555</wp:posOffset>
                </wp:positionH>
                <wp:positionV relativeFrom="paragraph">
                  <wp:posOffset>297180</wp:posOffset>
                </wp:positionV>
                <wp:extent cx="6014720" cy="1845310"/>
                <wp:effectExtent l="0" t="0" r="5080" b="889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632460"/>
                        </a:xfrm>
                        <a:prstGeom prst="rect">
                          <a:avLst/>
                        </a:prstGeom>
                        <a:solidFill>
                          <a:srgbClr val="FFFFFF"/>
                        </a:solidFill>
                        <a:ln w="9525">
                          <a:noFill/>
                          <a:miter lim="800000"/>
                        </a:ln>
                        <a:effectLst/>
                      </wps:spPr>
                      <wps:txbx>
                        <w:txbxContent>
                          <w:p w14:paraId="074FD97A" w14:textId="77777777" w:rsidR="00AF484A" w:rsidRDefault="00AF484A">
                            <w:pPr>
                              <w:shd w:val="clear" w:color="auto" w:fill="283478"/>
                              <w:rPr>
                                <w:rFonts w:ascii="Arial" w:hAnsi="Arial" w:cs="Arial"/>
                                <w:color w:val="FFFFFF"/>
                                <w:sz w:val="28"/>
                                <w:szCs w:val="28"/>
                              </w:rPr>
                            </w:pPr>
                          </w:p>
                          <w:p w14:paraId="09298463" w14:textId="77777777" w:rsidR="00AF484A" w:rsidRDefault="00281350">
                            <w:pPr>
                              <w:shd w:val="clear" w:color="auto" w:fill="283478"/>
                              <w:spacing w:after="0"/>
                              <w:jc w:val="center"/>
                              <w:rPr>
                                <w:rFonts w:ascii="Arial" w:hAnsi="Arial" w:cs="Arial"/>
                                <w:b/>
                                <w:bCs/>
                                <w:color w:val="FFFFFF"/>
                                <w:sz w:val="28"/>
                                <w:szCs w:val="28"/>
                              </w:rPr>
                            </w:pPr>
                            <w:r>
                              <w:rPr>
                                <w:rFonts w:ascii="Arial" w:hAnsi="Arial" w:cs="Arial"/>
                                <w:b/>
                                <w:bCs/>
                                <w:color w:val="FFFFFF"/>
                                <w:sz w:val="28"/>
                                <w:szCs w:val="28"/>
                              </w:rPr>
                              <w:t>SELECTION DE CONSULTANT POUR LA SPECIFICATION DE L’APPLICATION DU SCHEMA DE PAIEMENT TRANSACTION-BASED, BACKOFFICE MONETIQUE, D’UN NOYAU APPLICATIF DE PAIEMENT REGIONAL, D’UN TMS REGIONAL ET DES PROTOCOLES D’ECHANGES MONETIQUES ET DE PAIEMENT DU GIM-UEMOA BASES SUR ISO 20022 ET LES API</w:t>
                            </w:r>
                          </w:p>
                          <w:p w14:paraId="70D1C939" w14:textId="77777777" w:rsidR="00AF484A" w:rsidRDefault="00AF484A">
                            <w:pPr>
                              <w:shd w:val="clear" w:color="auto" w:fill="283478"/>
                              <w:rPr>
                                <w:rFonts w:ascii="Arial" w:hAnsi="Arial" w:cs="Arial"/>
                                <w:color w:val="FFFFFF"/>
                                <w:sz w:val="32"/>
                                <w:szCs w:val="32"/>
                              </w:rPr>
                            </w:pPr>
                          </w:p>
                          <w:p w14:paraId="7458EAAE" w14:textId="77777777" w:rsidR="00AF484A" w:rsidRDefault="00281350">
                            <w:pPr>
                              <w:shd w:val="clear" w:color="auto" w:fill="283478"/>
                              <w:rPr>
                                <w:rFonts w:ascii="Arial" w:hAnsi="Arial" w:cs="Arial"/>
                                <w:color w:val="FFFFFF"/>
                                <w:sz w:val="32"/>
                                <w:szCs w:val="32"/>
                              </w:rPr>
                            </w:pPr>
                            <w:r>
                              <w:rPr>
                                <w:rFonts w:ascii="Arial" w:hAnsi="Arial" w:cs="Arial"/>
                                <w:color w:val="FFFFFF"/>
                                <w:sz w:val="32"/>
                                <w:szCs w:val="32"/>
                              </w:rPr>
                              <w:t>…………………………………………………………………………….</w:t>
                            </w:r>
                          </w:p>
                          <w:p w14:paraId="58D7EDDB" w14:textId="77777777" w:rsidR="00AF484A" w:rsidRDefault="00AF484A">
                            <w:pPr>
                              <w:shd w:val="clear" w:color="auto" w:fill="283478"/>
                              <w:rPr>
                                <w:rFonts w:ascii="Arial" w:hAnsi="Arial" w:cs="Arial"/>
                                <w:color w:val="FFFFFF"/>
                                <w:sz w:val="32"/>
                                <w:szCs w:val="32"/>
                              </w:rPr>
                            </w:pPr>
                          </w:p>
                          <w:p w14:paraId="31D68834" w14:textId="77777777" w:rsidR="00AF484A" w:rsidRDefault="00AF484A">
                            <w:pPr>
                              <w:shd w:val="clear" w:color="auto" w:fill="283478"/>
                              <w:rPr>
                                <w:rFonts w:ascii="Arial" w:hAnsi="Arial" w:cs="Arial"/>
                                <w:color w:val="FFFFFF"/>
                                <w:sz w:val="32"/>
                                <w:szCs w:val="32"/>
                              </w:rPr>
                            </w:pPr>
                          </w:p>
                        </w:txbxContent>
                      </wps:txbx>
                      <wps:bodyPr rot="0" vert="horz" wrap="square" lIns="91440" tIns="45720" rIns="91440" bIns="45720" anchor="t" anchorCtr="0">
                        <a:noAutofit/>
                      </wps:bodyPr>
                    </wps:wsp>
                  </a:graphicData>
                </a:graphic>
              </wp:anchor>
            </w:drawing>
          </mc:Choice>
          <mc:Fallback>
            <w:pict>
              <v:shape w14:anchorId="23B69589" id="_x0000_s1030" type="#_x0000_t202" style="position:absolute;margin-left:49.65pt;margin-top:23.4pt;width:473.6pt;height:145.3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" stroked="f">
                <v:textbox>
                  <w:txbxContent>
                    <w:p w14:paraId="074FD97A" w14:textId="77777777" w:rsidR="00AF484A" w:rsidRDefault="00AF484A">
                      <w:pPr>
                        <w:shd w:val="clear" w:color="auto" w:fill="283478"/>
                        <w:rPr>
                          <w:rFonts w:ascii="Arial" w:hAnsi="Arial" w:cs="Arial"/>
                          <w:color w:val="FFFFFF"/>
                          <w:sz w:val="28"/>
                          <w:szCs w:val="28"/>
                        </w:rPr>
                      </w:pPr>
                    </w:p>
                    <w:p w14:paraId="09298463" w14:textId="77777777" w:rsidR="00AF484A" w:rsidRDefault="00281350">
                      <w:pPr>
                        <w:shd w:val="clear" w:color="auto" w:fill="283478"/>
                        <w:spacing w:after="0"/>
                        <w:jc w:val="center"/>
                        <w:rPr>
                          <w:rFonts w:ascii="Arial" w:hAnsi="Arial" w:cs="Arial"/>
                          <w:b/>
                          <w:bCs/>
                          <w:color w:val="FFFFFF"/>
                          <w:sz w:val="28"/>
                          <w:szCs w:val="28"/>
                        </w:rPr>
                      </w:pPr>
                      <w:r>
                        <w:rPr>
                          <w:rFonts w:ascii="Arial" w:hAnsi="Arial" w:cs="Arial"/>
                          <w:b/>
                          <w:bCs/>
                          <w:color w:val="FFFFFF"/>
                          <w:sz w:val="28"/>
                          <w:szCs w:val="28"/>
                        </w:rPr>
                        <w:t>SELECTION DE CONSULTANT POUR LA SPECIFICATION DE L’APPLICATION DU SCHEMA DE PAIEMENT TRANSACTION-BASED, BACKOFFICE MONETIQUE, D’UN NOYAU APPLICATIF DE PAIEMENT REGIONAL, D’UN TMS REGIONAL ET DES PROTOCOLES D’ECHANGES MONETIQUES ET DE PAIEMENT DU GIM-UEMOA BASES SUR ISO 20022 ET LES API</w:t>
                      </w:r>
                    </w:p>
                    <w:p w14:paraId="70D1C939" w14:textId="77777777" w:rsidR="00AF484A" w:rsidRDefault="00AF484A">
                      <w:pPr>
                        <w:shd w:val="clear" w:color="auto" w:fill="283478"/>
                        <w:rPr>
                          <w:rFonts w:ascii="Arial" w:hAnsi="Arial" w:cs="Arial"/>
                          <w:color w:val="FFFFFF"/>
                          <w:sz w:val="32"/>
                          <w:szCs w:val="32"/>
                        </w:rPr>
                      </w:pPr>
                    </w:p>
                    <w:p w14:paraId="7458EAAE" w14:textId="77777777" w:rsidR="00AF484A" w:rsidRDefault="00281350">
                      <w:pPr>
                        <w:shd w:val="clear" w:color="auto" w:fill="283478"/>
                        <w:rPr>
                          <w:rFonts w:ascii="Arial" w:hAnsi="Arial" w:cs="Arial"/>
                          <w:color w:val="FFFFFF"/>
                          <w:sz w:val="32"/>
                          <w:szCs w:val="32"/>
                        </w:rPr>
                      </w:pPr>
                      <w:r>
                        <w:rPr>
                          <w:rFonts w:ascii="Arial" w:hAnsi="Arial" w:cs="Arial"/>
                          <w:color w:val="FFFFFF"/>
                          <w:sz w:val="32"/>
                          <w:szCs w:val="32"/>
                        </w:rPr>
                        <w:t>…………………………………………………………………………….</w:t>
                      </w:r>
                    </w:p>
                    <w:p w14:paraId="58D7EDDB" w14:textId="77777777" w:rsidR="00AF484A" w:rsidRDefault="00AF484A">
                      <w:pPr>
                        <w:shd w:val="clear" w:color="auto" w:fill="283478"/>
                        <w:rPr>
                          <w:rFonts w:ascii="Arial" w:hAnsi="Arial" w:cs="Arial"/>
                          <w:color w:val="FFFFFF"/>
                          <w:sz w:val="32"/>
                          <w:szCs w:val="32"/>
                        </w:rPr>
                      </w:pPr>
                    </w:p>
                    <w:p w14:paraId="31D68834" w14:textId="77777777" w:rsidR="00AF484A" w:rsidRDefault="00AF484A">
                      <w:pPr>
                        <w:shd w:val="clear" w:color="auto" w:fill="283478"/>
                        <w:rPr>
                          <w:rFonts w:ascii="Arial" w:hAnsi="Arial" w:cs="Arial"/>
                          <w:color w:val="FFFFFF"/>
                          <w:sz w:val="32"/>
                          <w:szCs w:val="32"/>
                        </w:rPr>
                      </w:pPr>
                    </w:p>
                  </w:txbxContent>
                </v:textbox>
                <w10:wrap type="square" anchorx="margin"/>
              </v:shape>
            </w:pict>
          </mc:Fallback>
        </mc:AlternateContent>
      </w:r>
    </w:p>
    <w:p w14:paraId="149B2B87" w14:textId="77777777" w:rsidR="00AF484A" w:rsidRDefault="00281350">
      <w:pPr>
        <w:rPr>
          <w:rFonts w:ascii="Arial Narrow" w:hAnsi="Arial Narrow" w:cs="Arial"/>
        </w:rPr>
      </w:pPr>
      <w:r>
        <w:rPr>
          <w:noProof/>
        </w:rPr>
        <mc:AlternateContent>
          <mc:Choice Requires="wps">
            <w:drawing>
              <wp:anchor distT="0" distB="0" distL="114300" distR="114300" simplePos="0" relativeHeight="251661312" behindDoc="0" locked="0" layoutInCell="1" allowOverlap="1" wp14:anchorId="6B48B4E0" wp14:editId="5F4FF893">
                <wp:simplePos x="0" y="0"/>
                <wp:positionH relativeFrom="margin">
                  <wp:posOffset>182880</wp:posOffset>
                </wp:positionH>
                <wp:positionV relativeFrom="paragraph">
                  <wp:posOffset>2011680</wp:posOffset>
                </wp:positionV>
                <wp:extent cx="6816090" cy="0"/>
                <wp:effectExtent l="0" t="6350" r="0" b="6350"/>
                <wp:wrapNone/>
                <wp:docPr id="3" name="Connecteur droit 7"/>
                <wp:cNvGraphicFramePr/>
                <a:graphic xmlns:a="http://schemas.openxmlformats.org/drawingml/2006/main">
                  <a:graphicData uri="http://schemas.microsoft.com/office/word/2010/wordprocessingShape">
                    <wps:wsp>
                      <wps:cNvCnPr/>
                      <wps:spPr>
                        <a:xfrm>
                          <a:off x="0" y="0"/>
                          <a:ext cx="6816090" cy="0"/>
                        </a:xfrm>
                        <a:prstGeom prst="line">
                          <a:avLst/>
                        </a:prstGeom>
                        <a:noFill/>
                        <a:ln w="12700" cap="flat" cmpd="sng" algn="ctr">
                          <a:solidFill>
                            <a:srgbClr val="283478"/>
                          </a:solidFill>
                          <a:prstDash val="solid"/>
                          <a:miter lim="800000"/>
                        </a:ln>
                        <a:effectLst/>
                      </wps:spPr>
                      <wps:bodyPr/>
                    </wps:wsp>
                  </a:graphicData>
                </a:graphic>
              </wp:anchor>
            </w:drawing>
          </mc:Choice>
          <mc:Fallback>
            <w:pict>
              <v:line w14:anchorId="379A9F82" id="Connecteur droit 7"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4.4pt,158.4pt" to="551.1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" strokecolor="#283478" strokeweight="1pt">
                <v:stroke joinstyle="miter"/>
                <w10:wrap anchorx="margin"/>
              </v:line>
            </w:pict>
          </mc:Fallback>
        </mc:AlternateContent>
      </w:r>
      <w:r>
        <w:rPr>
          <w:noProof/>
        </w:rPr>
        <mc:AlternateContent>
          <mc:Choice Requires="wps">
            <w:drawing>
              <wp:anchor distT="0" distB="0" distL="114300" distR="114300" simplePos="0" relativeHeight="251662336" behindDoc="0" locked="0" layoutInCell="1" allowOverlap="1" wp14:anchorId="19FFFB58" wp14:editId="0C5A0D94">
                <wp:simplePos x="0" y="0"/>
                <wp:positionH relativeFrom="margin">
                  <wp:posOffset>2096770</wp:posOffset>
                </wp:positionH>
                <wp:positionV relativeFrom="paragraph">
                  <wp:posOffset>2011680</wp:posOffset>
                </wp:positionV>
                <wp:extent cx="2519680" cy="0"/>
                <wp:effectExtent l="0" t="9525" r="0" b="9525"/>
                <wp:wrapNone/>
                <wp:docPr id="4" name="Connecteur droit 7"/>
                <wp:cNvGraphicFramePr/>
                <a:graphic xmlns:a="http://schemas.openxmlformats.org/drawingml/2006/main">
                  <a:graphicData uri="http://schemas.microsoft.com/office/word/2010/wordprocessingShape">
                    <wps:wsp>
                      <wps:cNvCnPr/>
                      <wps:spPr>
                        <a:xfrm>
                          <a:off x="0" y="0"/>
                          <a:ext cx="2519680" cy="0"/>
                        </a:xfrm>
                        <a:prstGeom prst="line">
                          <a:avLst/>
                        </a:prstGeom>
                        <a:noFill/>
                        <a:ln w="19050" cap="flat" cmpd="sng" algn="ctr">
                          <a:solidFill>
                            <a:srgbClr val="FBBB21"/>
                          </a:solidFill>
                          <a:prstDash val="solid"/>
                          <a:miter lim="800000"/>
                        </a:ln>
                        <a:effectLst/>
                      </wps:spPr>
                      <wps:bodyPr/>
                    </wps:wsp>
                  </a:graphicData>
                </a:graphic>
              </wp:anchor>
            </w:drawing>
          </mc:Choice>
          <mc:Fallback>
            <w:pict>
              <v:line w14:anchorId="7159F723" id="Connecteur droit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5.1pt,158.4pt" to="363.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" strokecolor="#fbbb21" strokeweight="1.5pt">
                <v:stroke joinstyle="miter"/>
                <w10:wrap anchorx="margin"/>
              </v:line>
            </w:pict>
          </mc:Fallback>
        </mc:AlternateContent>
      </w:r>
    </w:p>
    <w:p w14:paraId="1707FDD9" w14:textId="77777777" w:rsidR="00AF484A" w:rsidRDefault="00AF484A">
      <w:pPr>
        <w:rPr>
          <w:rFonts w:ascii="Arial Narrow" w:hAnsi="Arial Narrow"/>
        </w:rPr>
      </w:pPr>
    </w:p>
    <w:p w14:paraId="344201DA" w14:textId="77777777" w:rsidR="00AF484A" w:rsidRDefault="00AF484A">
      <w:pPr>
        <w:rPr>
          <w:rFonts w:ascii="Arial Narrow" w:hAnsi="Arial Narrow"/>
        </w:rPr>
      </w:pPr>
    </w:p>
    <w:p w14:paraId="75E9360F" w14:textId="77777777" w:rsidR="00AF484A" w:rsidRDefault="00AF484A">
      <w:pPr>
        <w:rPr>
          <w:rFonts w:ascii="Arial Narrow" w:hAnsi="Arial Narrow"/>
        </w:rPr>
      </w:pPr>
    </w:p>
    <w:p w14:paraId="05DB6C1F" w14:textId="77777777" w:rsidR="00AF484A" w:rsidRDefault="00AF484A">
      <w:pPr>
        <w:rPr>
          <w:rFonts w:ascii="Arial Narrow" w:hAnsi="Arial Narrow"/>
        </w:rPr>
      </w:pPr>
    </w:p>
    <w:p w14:paraId="3B20DC2C" w14:textId="77777777" w:rsidR="00AF484A" w:rsidRDefault="00AF484A">
      <w:pPr>
        <w:rPr>
          <w:rFonts w:ascii="Arial Narrow" w:hAnsi="Arial Narrow"/>
        </w:rPr>
      </w:pPr>
    </w:p>
    <w:p w14:paraId="00651509" w14:textId="77777777" w:rsidR="00AF484A" w:rsidRDefault="00AF484A">
      <w:pPr>
        <w:rPr>
          <w:rFonts w:ascii="Arial Narrow" w:hAnsi="Arial Narrow"/>
        </w:rPr>
      </w:pPr>
    </w:p>
    <w:p w14:paraId="52B0DF23" w14:textId="77777777" w:rsidR="00AF484A" w:rsidRDefault="00AF484A">
      <w:pPr>
        <w:rPr>
          <w:rFonts w:ascii="Arial Narrow" w:hAnsi="Arial Narrow"/>
        </w:rPr>
      </w:pPr>
    </w:p>
    <w:p w14:paraId="64F1ED64" w14:textId="77777777" w:rsidR="00AF484A" w:rsidRDefault="00AF484A">
      <w:pPr>
        <w:rPr>
          <w:rFonts w:ascii="Arial Narrow" w:hAnsi="Arial Narrow"/>
        </w:rPr>
      </w:pPr>
    </w:p>
    <w:p w14:paraId="37510C82" w14:textId="77777777" w:rsidR="00AF484A" w:rsidRDefault="00AF484A">
      <w:pPr>
        <w:rPr>
          <w:rFonts w:ascii="Arial Narrow" w:hAnsi="Arial Narrow"/>
        </w:rPr>
      </w:pPr>
    </w:p>
    <w:p w14:paraId="45E5D129" w14:textId="77777777" w:rsidR="00AF484A" w:rsidRDefault="00AF484A">
      <w:pPr>
        <w:rPr>
          <w:rFonts w:ascii="Arial Narrow" w:hAnsi="Arial Narrow"/>
        </w:rPr>
      </w:pPr>
    </w:p>
    <w:p w14:paraId="063C2EB3" w14:textId="77777777" w:rsidR="00AF484A" w:rsidRDefault="00AF484A">
      <w:pPr>
        <w:rPr>
          <w:rFonts w:ascii="Arial Narrow" w:hAnsi="Arial Narrow"/>
        </w:rPr>
      </w:pPr>
    </w:p>
    <w:p w14:paraId="4F527EFD" w14:textId="77777777" w:rsidR="00AF484A" w:rsidRDefault="00AF484A">
      <w:pPr>
        <w:rPr>
          <w:rFonts w:ascii="Arial Narrow" w:hAnsi="Arial Narrow"/>
        </w:rPr>
      </w:pPr>
    </w:p>
    <w:p w14:paraId="258456E8" w14:textId="77777777" w:rsidR="00AF484A" w:rsidRDefault="00AF484A">
      <w:pPr>
        <w:rPr>
          <w:rFonts w:ascii="Arial Narrow" w:hAnsi="Arial Narrow"/>
        </w:rPr>
      </w:pPr>
    </w:p>
    <w:p w14:paraId="2D21F4E6" w14:textId="77777777" w:rsidR="00AF484A" w:rsidRDefault="00AF484A">
      <w:pPr>
        <w:rPr>
          <w:rFonts w:ascii="Arial Narrow" w:hAnsi="Arial Narrow"/>
        </w:rPr>
      </w:pPr>
    </w:p>
    <w:p w14:paraId="551BBB08" w14:textId="77777777" w:rsidR="00AF484A" w:rsidRDefault="00AF484A">
      <w:pPr>
        <w:rPr>
          <w:rFonts w:ascii="Arial Narrow" w:hAnsi="Arial Narrow"/>
        </w:rPr>
      </w:pPr>
    </w:p>
    <w:p w14:paraId="181E6609" w14:textId="77777777" w:rsidR="00AF484A" w:rsidRDefault="00AF484A">
      <w:pPr>
        <w:rPr>
          <w:rFonts w:ascii="Arial Narrow" w:hAnsi="Arial Narrow"/>
        </w:rPr>
      </w:pPr>
    </w:p>
    <w:p w14:paraId="28AE467E" w14:textId="77777777" w:rsidR="00AF484A" w:rsidRDefault="00AF484A">
      <w:pPr>
        <w:rPr>
          <w:rFonts w:ascii="Arial Narrow" w:hAnsi="Arial Narrow"/>
        </w:rPr>
      </w:pPr>
    </w:p>
    <w:p w14:paraId="4A708840" w14:textId="77777777" w:rsidR="00AF484A" w:rsidRDefault="00AF484A">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33AF8041"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71A76EC8" w14:textId="77777777" w:rsidR="00AF484A" w:rsidRPr="00CF6D97" w:rsidRDefault="00281350">
            <w:pPr>
              <w:pStyle w:val="Paragraphedeliste"/>
              <w:numPr>
                <w:ilvl w:val="0"/>
                <w:numId w:val="3"/>
              </w:numPr>
              <w:spacing w:after="0" w:line="240" w:lineRule="auto"/>
              <w:rPr>
                <w:rFonts w:ascii="Arial Narrow" w:hAnsi="Arial Narrow" w:cs="Arial"/>
                <w:b/>
              </w:rPr>
            </w:pPr>
            <w:r w:rsidRPr="00CF6D97">
              <w:rPr>
                <w:rFonts w:ascii="Arial Narrow" w:hAnsi="Arial Narrow" w:cs="Arial"/>
                <w:b/>
                <w:color w:val="283478"/>
                <w:sz w:val="24"/>
                <w:szCs w:val="24"/>
              </w:rPr>
              <w:lastRenderedPageBreak/>
              <w:t>PRESENTATION DU GIM-UEMOA</w:t>
            </w:r>
          </w:p>
        </w:tc>
      </w:tr>
    </w:tbl>
    <w:p w14:paraId="14AA810B" w14:textId="77777777" w:rsidR="00AF484A" w:rsidRPr="00CF6D97" w:rsidRDefault="00AF484A">
      <w:pPr>
        <w:jc w:val="both"/>
        <w:rPr>
          <w:rFonts w:ascii="Arial Narrow" w:hAnsi="Arial Narrow" w:cs="Arial"/>
          <w:color w:val="283478"/>
        </w:rPr>
      </w:pPr>
    </w:p>
    <w:p w14:paraId="4C111AC6" w14:textId="77777777" w:rsidR="00AF484A" w:rsidRPr="00CF6D97" w:rsidRDefault="00281350">
      <w:pPr>
        <w:jc w:val="both"/>
        <w:rPr>
          <w:rFonts w:ascii="Arial Narrow" w:hAnsi="Arial Narrow" w:cs="Arial"/>
          <w:sz w:val="24"/>
          <w:szCs w:val="24"/>
        </w:rPr>
      </w:pPr>
      <w:r w:rsidRPr="00CF6D97">
        <w:rPr>
          <w:rFonts w:ascii="Arial Narrow" w:hAnsi="Arial Narrow" w:cs="Arial"/>
          <w:sz w:val="24"/>
          <w:szCs w:val="24"/>
        </w:rPr>
        <w:t>L’Union Economique et Monétaire Ouest Africaine (UEMOA) est une zone intégrée regroupant les Etats membres suivants : Bénin, Burkina Faso, Côte d’Ivoire, Guinée Bissau, Mali, Niger, Sénégal et Togo. Elle présente les caractéristiques essentielles ci-après :</w:t>
      </w:r>
    </w:p>
    <w:p w14:paraId="79E37783" w14:textId="77777777" w:rsidR="00AF484A" w:rsidRPr="00CF6D97" w:rsidRDefault="00281350">
      <w:pPr>
        <w:pStyle w:val="Paragraphedeliste"/>
        <w:numPr>
          <w:ilvl w:val="0"/>
          <w:numId w:val="4"/>
        </w:numPr>
        <w:jc w:val="both"/>
        <w:rPr>
          <w:rFonts w:ascii="Arial Narrow" w:hAnsi="Arial Narrow" w:cs="Arial"/>
          <w:sz w:val="24"/>
          <w:szCs w:val="24"/>
        </w:rPr>
      </w:pPr>
      <w:r w:rsidRPr="00CF6D97">
        <w:rPr>
          <w:rFonts w:ascii="Arial Narrow" w:hAnsi="Arial Narrow" w:cs="Arial"/>
          <w:sz w:val="24"/>
          <w:szCs w:val="24"/>
        </w:rPr>
        <w:t>Environ 145 millions d’habitants ;</w:t>
      </w:r>
    </w:p>
    <w:p w14:paraId="47C7FB3E" w14:textId="77777777" w:rsidR="00AF484A" w:rsidRPr="00CF6D97" w:rsidRDefault="00281350">
      <w:pPr>
        <w:pStyle w:val="Paragraphedeliste"/>
        <w:numPr>
          <w:ilvl w:val="0"/>
          <w:numId w:val="4"/>
        </w:numPr>
        <w:jc w:val="both"/>
        <w:rPr>
          <w:rFonts w:ascii="Arial Narrow" w:hAnsi="Arial Narrow" w:cs="Arial"/>
          <w:sz w:val="24"/>
          <w:szCs w:val="24"/>
        </w:rPr>
      </w:pPr>
      <w:r w:rsidRPr="00CF6D97">
        <w:rPr>
          <w:rFonts w:ascii="Arial Narrow" w:hAnsi="Arial Narrow" w:cs="Arial"/>
          <w:sz w:val="24"/>
          <w:szCs w:val="24"/>
        </w:rPr>
        <w:t>Environ 160 banques, établissements financiers et postaux ;</w:t>
      </w:r>
    </w:p>
    <w:p w14:paraId="0DB0C07E" w14:textId="77777777" w:rsidR="00AF484A" w:rsidRPr="00CF6D97" w:rsidRDefault="00281350">
      <w:pPr>
        <w:pStyle w:val="Paragraphedeliste"/>
        <w:numPr>
          <w:ilvl w:val="0"/>
          <w:numId w:val="4"/>
        </w:numPr>
        <w:jc w:val="both"/>
        <w:rPr>
          <w:rFonts w:ascii="Arial Narrow" w:hAnsi="Arial Narrow" w:cs="Arial"/>
          <w:sz w:val="24"/>
          <w:szCs w:val="24"/>
        </w:rPr>
      </w:pPr>
      <w:r w:rsidRPr="00CF6D97">
        <w:rPr>
          <w:rFonts w:ascii="Arial Narrow" w:hAnsi="Arial Narrow" w:cs="Arial"/>
          <w:sz w:val="24"/>
          <w:szCs w:val="24"/>
        </w:rPr>
        <w:t>Un Institut d’émission commun aux huit Etats, la Banque Centrale des Etats de l’Afrique de l’Ouest (BCEAO) ;</w:t>
      </w:r>
    </w:p>
    <w:p w14:paraId="645DDEB4" w14:textId="77777777" w:rsidR="00AF484A" w:rsidRPr="00CF6D97" w:rsidRDefault="00281350">
      <w:pPr>
        <w:pStyle w:val="Paragraphedeliste"/>
        <w:numPr>
          <w:ilvl w:val="0"/>
          <w:numId w:val="4"/>
        </w:numPr>
        <w:jc w:val="both"/>
        <w:rPr>
          <w:rFonts w:ascii="Arial Narrow" w:hAnsi="Arial Narrow" w:cs="Arial"/>
          <w:sz w:val="24"/>
          <w:szCs w:val="24"/>
        </w:rPr>
      </w:pPr>
      <w:r w:rsidRPr="00CF6D97">
        <w:rPr>
          <w:rFonts w:ascii="Arial Narrow" w:hAnsi="Arial Narrow" w:cs="Arial"/>
          <w:sz w:val="24"/>
          <w:szCs w:val="24"/>
        </w:rPr>
        <w:t>Une monnaie unique, une même langue et une politique commune monétaire et de crédit.</w:t>
      </w:r>
    </w:p>
    <w:p w14:paraId="6B580932" w14:textId="77777777" w:rsidR="00AF484A" w:rsidRPr="00CF6D97" w:rsidRDefault="00281350">
      <w:pPr>
        <w:spacing w:before="120" w:after="120"/>
        <w:jc w:val="both"/>
        <w:rPr>
          <w:rFonts w:ascii="Arial Narrow" w:hAnsi="Arial Narrow" w:cs="Arial"/>
          <w:sz w:val="24"/>
          <w:szCs w:val="24"/>
        </w:rPr>
      </w:pPr>
      <w:r w:rsidRPr="00CF6D97">
        <w:rPr>
          <w:rFonts w:ascii="Arial Narrow" w:hAnsi="Arial Narrow" w:cs="Arial"/>
          <w:sz w:val="24"/>
          <w:szCs w:val="24"/>
        </w:rPr>
        <w:t>Le GIM-UEMOA a été constitué en février 2003, sous forme de Groupement d'Intérêt Economique, puis transformé en société anonyme le 23 décembre 2016. Il regroupe aujourd'hui plus d'une centaine d'actionnaires et assure les missions suivantes :</w:t>
      </w:r>
    </w:p>
    <w:p w14:paraId="47954D91" w14:textId="77777777" w:rsidR="00AF484A" w:rsidRPr="00CF6D97" w:rsidRDefault="00281350">
      <w:pPr>
        <w:numPr>
          <w:ilvl w:val="0"/>
          <w:numId w:val="5"/>
        </w:numPr>
        <w:suppressAutoHyphens/>
        <w:spacing w:before="60" w:after="60" w:line="240" w:lineRule="auto"/>
        <w:ind w:left="714" w:hanging="357"/>
        <w:jc w:val="both"/>
        <w:rPr>
          <w:rFonts w:ascii="Arial Narrow" w:hAnsi="Arial Narrow" w:cs="Arial"/>
          <w:sz w:val="24"/>
          <w:szCs w:val="24"/>
        </w:rPr>
      </w:pPr>
      <w:r w:rsidRPr="00CF6D97">
        <w:rPr>
          <w:rFonts w:ascii="Arial Narrow" w:hAnsi="Arial Narrow" w:cs="Arial"/>
          <w:sz w:val="24"/>
          <w:szCs w:val="24"/>
        </w:rPr>
        <w:t>Promouvoir les systèmes et moyens de paiement électroniques auprès des secteurs bancaire et financier, des administrations et des populations de l’UEMOA ;</w:t>
      </w:r>
    </w:p>
    <w:p w14:paraId="11A2196E" w14:textId="77777777" w:rsidR="00AF484A" w:rsidRPr="00CF6D97" w:rsidRDefault="00281350">
      <w:pPr>
        <w:numPr>
          <w:ilvl w:val="0"/>
          <w:numId w:val="5"/>
        </w:numPr>
        <w:suppressAutoHyphens/>
        <w:spacing w:before="60" w:after="60" w:line="240" w:lineRule="auto"/>
        <w:ind w:left="714" w:hanging="357"/>
        <w:jc w:val="both"/>
        <w:rPr>
          <w:rFonts w:ascii="Arial Narrow" w:hAnsi="Arial Narrow" w:cs="Arial"/>
          <w:sz w:val="24"/>
          <w:szCs w:val="24"/>
        </w:rPr>
      </w:pPr>
      <w:r w:rsidRPr="00CF6D97">
        <w:rPr>
          <w:rFonts w:ascii="Arial Narrow" w:hAnsi="Arial Narrow" w:cs="Arial"/>
          <w:sz w:val="24"/>
          <w:szCs w:val="24"/>
        </w:rPr>
        <w:t>Assurer de manière efficiente la gestion du système monétique interbancaire ;</w:t>
      </w:r>
    </w:p>
    <w:p w14:paraId="689A356A" w14:textId="77777777" w:rsidR="00AF484A" w:rsidRPr="00CF6D97" w:rsidRDefault="00281350">
      <w:pPr>
        <w:numPr>
          <w:ilvl w:val="0"/>
          <w:numId w:val="5"/>
        </w:numPr>
        <w:suppressAutoHyphens/>
        <w:spacing w:before="60" w:after="60" w:line="240" w:lineRule="auto"/>
        <w:ind w:left="714" w:hanging="357"/>
        <w:jc w:val="both"/>
        <w:rPr>
          <w:rFonts w:ascii="Arial Narrow" w:hAnsi="Arial Narrow" w:cs="Arial"/>
          <w:sz w:val="24"/>
          <w:szCs w:val="24"/>
        </w:rPr>
      </w:pPr>
      <w:r w:rsidRPr="00CF6D97">
        <w:rPr>
          <w:rFonts w:ascii="Arial Narrow" w:hAnsi="Arial Narrow" w:cs="Arial"/>
          <w:sz w:val="24"/>
          <w:szCs w:val="24"/>
        </w:rPr>
        <w:t>Assurer l’interopérabilité, la compensation et la sécurité des transactions électroniques entre les acteurs ;</w:t>
      </w:r>
    </w:p>
    <w:p w14:paraId="0873916A" w14:textId="77777777" w:rsidR="00AF484A" w:rsidRPr="00CF6D97" w:rsidRDefault="00281350">
      <w:pPr>
        <w:numPr>
          <w:ilvl w:val="0"/>
          <w:numId w:val="5"/>
        </w:numPr>
        <w:suppressAutoHyphens/>
        <w:spacing w:before="60" w:after="60" w:line="240" w:lineRule="auto"/>
        <w:ind w:left="714" w:hanging="357"/>
        <w:jc w:val="both"/>
        <w:rPr>
          <w:rFonts w:ascii="Arial Narrow" w:hAnsi="Arial Narrow" w:cs="Arial"/>
          <w:sz w:val="24"/>
          <w:szCs w:val="24"/>
        </w:rPr>
      </w:pPr>
      <w:r w:rsidRPr="00CF6D97">
        <w:rPr>
          <w:rFonts w:ascii="Arial Narrow" w:hAnsi="Arial Narrow" w:cs="Arial"/>
          <w:sz w:val="24"/>
          <w:szCs w:val="24"/>
        </w:rPr>
        <w:t>Garantir l’application des règles opérationnelles conformes aux principes de gouvernance et de régulation de la monétique régionale, édictés par la Banque Centrale des Etats de l’Afrique de l’Ouest (BCEAO) ;</w:t>
      </w:r>
    </w:p>
    <w:p w14:paraId="4C5A2E1B" w14:textId="77777777" w:rsidR="00AF484A" w:rsidRPr="00CF6D97" w:rsidRDefault="00281350">
      <w:pPr>
        <w:numPr>
          <w:ilvl w:val="0"/>
          <w:numId w:val="5"/>
        </w:numPr>
        <w:suppressAutoHyphens/>
        <w:spacing w:before="60" w:after="60" w:line="240" w:lineRule="auto"/>
        <w:ind w:left="714" w:hanging="357"/>
        <w:jc w:val="both"/>
        <w:rPr>
          <w:rFonts w:ascii="Arial Narrow" w:hAnsi="Arial Narrow" w:cs="Arial"/>
          <w:sz w:val="24"/>
          <w:szCs w:val="24"/>
        </w:rPr>
      </w:pPr>
      <w:r w:rsidRPr="00CF6D97">
        <w:rPr>
          <w:rFonts w:ascii="Arial Narrow" w:hAnsi="Arial Narrow" w:cs="Arial"/>
          <w:sz w:val="24"/>
          <w:szCs w:val="24"/>
        </w:rPr>
        <w:t>Assurer une veille technologique et réglementaire efficace, ainsi qu'une conformité aux normes régionales et internationales.</w:t>
      </w:r>
    </w:p>
    <w:p w14:paraId="0B4BCBB6" w14:textId="77777777" w:rsidR="00AF484A" w:rsidRPr="00CF6D97" w:rsidRDefault="00AF484A">
      <w:pPr>
        <w:tabs>
          <w:tab w:val="left" w:pos="720"/>
        </w:tabs>
        <w:suppressAutoHyphens/>
        <w:spacing w:before="60" w:after="60" w:line="240" w:lineRule="auto"/>
        <w:ind w:left="714"/>
        <w:jc w:val="both"/>
        <w:rPr>
          <w:rFonts w:ascii="Arial Narrow" w:hAnsi="Arial Narrow" w:cs="Arial"/>
          <w:sz w:val="24"/>
          <w:szCs w:val="24"/>
        </w:rPr>
      </w:pPr>
    </w:p>
    <w:p w14:paraId="6E2ED57D" w14:textId="77777777" w:rsidR="00AF484A" w:rsidRPr="00CF6D97" w:rsidRDefault="00281350">
      <w:pPr>
        <w:jc w:val="both"/>
        <w:rPr>
          <w:rFonts w:ascii="Arial Narrow" w:hAnsi="Arial Narrow" w:cs="Arial"/>
          <w:sz w:val="24"/>
          <w:szCs w:val="24"/>
        </w:rPr>
      </w:pPr>
      <w:r w:rsidRPr="00CF6D97">
        <w:rPr>
          <w:rFonts w:ascii="Arial Narrow" w:hAnsi="Arial Narrow" w:cs="Arial"/>
          <w:sz w:val="24"/>
          <w:szCs w:val="24"/>
        </w:rPr>
        <w:t>Dans le cadre de son plan stratégique décennal (2016-2025), le GIM-UEMOA se positionne en tant qu'Opérateur Global Régional couvrant trois activités principales et complémentaires :  </w:t>
      </w:r>
    </w:p>
    <w:p w14:paraId="79FB2269" w14:textId="77777777" w:rsidR="00AF484A" w:rsidRPr="00CF6D97" w:rsidRDefault="00281350">
      <w:pPr>
        <w:pStyle w:val="Paragraphedeliste"/>
        <w:numPr>
          <w:ilvl w:val="0"/>
          <w:numId w:val="6"/>
        </w:numPr>
        <w:autoSpaceDE w:val="0"/>
        <w:autoSpaceDN w:val="0"/>
        <w:spacing w:after="0" w:line="240" w:lineRule="auto"/>
        <w:ind w:right="266"/>
        <w:jc w:val="both"/>
        <w:rPr>
          <w:rFonts w:ascii="Arial Narrow" w:hAnsi="Arial Narrow" w:cs="Arial"/>
          <w:sz w:val="24"/>
          <w:szCs w:val="24"/>
        </w:rPr>
      </w:pPr>
      <w:r w:rsidRPr="00CF6D97">
        <w:rPr>
          <w:rFonts w:ascii="Arial Narrow" w:hAnsi="Arial Narrow" w:cs="Arial"/>
          <w:sz w:val="24"/>
          <w:szCs w:val="24"/>
        </w:rPr>
        <w:t>L</w:t>
      </w:r>
      <w:r w:rsidRPr="00CF6D97">
        <w:rPr>
          <w:rFonts w:ascii="Arial Narrow" w:hAnsi="Arial Narrow" w:cs="Arial"/>
          <w:b/>
          <w:bCs/>
          <w:sz w:val="24"/>
          <w:szCs w:val="24"/>
        </w:rPr>
        <w:t>e schéma de paiement</w:t>
      </w:r>
      <w:r w:rsidRPr="00CF6D97">
        <w:rPr>
          <w:rFonts w:ascii="Arial Narrow" w:hAnsi="Arial Narrow" w:cs="Arial"/>
          <w:sz w:val="24"/>
          <w:szCs w:val="24"/>
        </w:rPr>
        <w:t xml:space="preserve"> à travers la mise à disposition d’une application de paiement et des spécifications pour l’émission de cartes bancaires régionales et autres instruments de paiement ainsi que la gestion du cadre de gouvernance opérationnelle y relatif. Le GIM-UEMOA entreprend ainsi d’accroître le rayonnement de la carte de paiement régionale au-delà de la zone UEMOA, à travers des partenariats d’acceptation réciproque avec d’autres schémas de paiement nationaux ou régionaux. Il s’agit aussi de développer un écosystème ouvert en établissant des ponts avec l’ensemble des instruments de paiement alternatifs à la carte.</w:t>
      </w:r>
    </w:p>
    <w:p w14:paraId="2D7F4A95" w14:textId="77777777" w:rsidR="00AF484A" w:rsidRPr="00CF6D97" w:rsidRDefault="00AF484A">
      <w:pPr>
        <w:pStyle w:val="Paragraphedeliste"/>
        <w:autoSpaceDE w:val="0"/>
        <w:autoSpaceDN w:val="0"/>
        <w:ind w:right="266"/>
        <w:jc w:val="both"/>
        <w:rPr>
          <w:rFonts w:ascii="Arial Narrow" w:hAnsi="Arial Narrow" w:cs="Arial"/>
          <w:sz w:val="24"/>
          <w:szCs w:val="24"/>
        </w:rPr>
      </w:pPr>
    </w:p>
    <w:p w14:paraId="0DF7F244" w14:textId="77777777" w:rsidR="00AF484A" w:rsidRPr="00CF6D97" w:rsidRDefault="00281350">
      <w:pPr>
        <w:pStyle w:val="Paragraphedeliste"/>
        <w:numPr>
          <w:ilvl w:val="0"/>
          <w:numId w:val="6"/>
        </w:numPr>
        <w:autoSpaceDE w:val="0"/>
        <w:autoSpaceDN w:val="0"/>
        <w:spacing w:after="0" w:line="240" w:lineRule="auto"/>
        <w:ind w:right="266"/>
        <w:jc w:val="both"/>
        <w:rPr>
          <w:rFonts w:ascii="Arial Narrow" w:hAnsi="Arial Narrow" w:cs="Arial"/>
          <w:sz w:val="24"/>
          <w:szCs w:val="24"/>
        </w:rPr>
      </w:pPr>
      <w:r w:rsidRPr="00CF6D97">
        <w:rPr>
          <w:rFonts w:ascii="Arial Narrow" w:hAnsi="Arial Narrow" w:cs="Arial"/>
          <w:b/>
          <w:bCs/>
          <w:sz w:val="24"/>
          <w:szCs w:val="24"/>
        </w:rPr>
        <w:t xml:space="preserve">Le </w:t>
      </w:r>
      <w:proofErr w:type="spellStart"/>
      <w:r w:rsidRPr="00CF6D97">
        <w:rPr>
          <w:rFonts w:ascii="Arial Narrow" w:hAnsi="Arial Narrow" w:cs="Arial"/>
          <w:b/>
          <w:bCs/>
          <w:sz w:val="24"/>
          <w:szCs w:val="24"/>
        </w:rPr>
        <w:t>Switching</w:t>
      </w:r>
      <w:proofErr w:type="spellEnd"/>
      <w:r w:rsidRPr="00CF6D97">
        <w:rPr>
          <w:rFonts w:ascii="Arial Narrow" w:hAnsi="Arial Narrow" w:cs="Arial"/>
          <w:sz w:val="24"/>
          <w:szCs w:val="24"/>
        </w:rPr>
        <w:t xml:space="preserve"> qui assure l’interopérabilité des transactions électroniques de tous les acteurs du marché. Le GIM-UEMOA ouvre son activité d’interopérabilité à tout type d’acteurs susceptibles de remettre des transactions électroniques à la compensation (routage, compensation des transactions cartes, mobile, e-commerce, transfert d’argent, etc.).</w:t>
      </w:r>
    </w:p>
    <w:p w14:paraId="225714A4" w14:textId="77777777" w:rsidR="00AF484A" w:rsidRPr="00CF6D97" w:rsidRDefault="00AF484A">
      <w:pPr>
        <w:pStyle w:val="Paragraphedeliste"/>
        <w:jc w:val="both"/>
        <w:rPr>
          <w:rFonts w:ascii="Arial Narrow" w:hAnsi="Arial Narrow" w:cs="Arial"/>
          <w:sz w:val="24"/>
          <w:szCs w:val="24"/>
        </w:rPr>
      </w:pPr>
    </w:p>
    <w:p w14:paraId="705DC6C0" w14:textId="77777777" w:rsidR="00AF484A" w:rsidRPr="00CF6D97" w:rsidRDefault="00281350">
      <w:pPr>
        <w:pStyle w:val="Paragraphedeliste"/>
        <w:numPr>
          <w:ilvl w:val="0"/>
          <w:numId w:val="6"/>
        </w:numPr>
        <w:autoSpaceDE w:val="0"/>
        <w:autoSpaceDN w:val="0"/>
        <w:spacing w:after="0" w:line="240" w:lineRule="auto"/>
        <w:ind w:right="266"/>
        <w:jc w:val="both"/>
        <w:rPr>
          <w:rFonts w:ascii="Arial Narrow" w:hAnsi="Arial Narrow" w:cs="Arial"/>
          <w:sz w:val="24"/>
          <w:szCs w:val="24"/>
        </w:rPr>
      </w:pPr>
      <w:r w:rsidRPr="00CF6D97">
        <w:rPr>
          <w:rFonts w:ascii="Arial Narrow" w:hAnsi="Arial Narrow" w:cs="Arial"/>
          <w:b/>
          <w:bCs/>
          <w:sz w:val="24"/>
          <w:szCs w:val="24"/>
        </w:rPr>
        <w:t xml:space="preserve">Le </w:t>
      </w:r>
      <w:proofErr w:type="spellStart"/>
      <w:r w:rsidRPr="00CF6D97">
        <w:rPr>
          <w:rFonts w:ascii="Arial Narrow" w:hAnsi="Arial Narrow" w:cs="Arial"/>
          <w:b/>
          <w:bCs/>
          <w:sz w:val="24"/>
          <w:szCs w:val="24"/>
        </w:rPr>
        <w:t>Processing</w:t>
      </w:r>
      <w:proofErr w:type="spellEnd"/>
      <w:r w:rsidRPr="00CF6D97">
        <w:rPr>
          <w:rFonts w:ascii="Arial Narrow" w:hAnsi="Arial Narrow" w:cs="Arial"/>
          <w:sz w:val="24"/>
          <w:szCs w:val="24"/>
        </w:rPr>
        <w:t xml:space="preserve"> à travers l’infogérance et le traitement technique par délégation des produits et services électroniques, l’offre des solutions à forte valeur ajoutée et porteuses d’innovation.</w:t>
      </w:r>
    </w:p>
    <w:p w14:paraId="774DBCAE" w14:textId="77777777" w:rsidR="00DB6018" w:rsidRPr="00CF6D97" w:rsidRDefault="00DB6018" w:rsidP="00DB6018">
      <w:pPr>
        <w:pStyle w:val="Paragraphedeliste"/>
        <w:rPr>
          <w:rFonts w:ascii="Arial Narrow" w:hAnsi="Arial Narrow" w:cs="Arial"/>
          <w:sz w:val="24"/>
          <w:szCs w:val="24"/>
        </w:rPr>
      </w:pPr>
    </w:p>
    <w:p w14:paraId="14255580" w14:textId="77777777" w:rsidR="00DB6018" w:rsidRPr="00CF6D97" w:rsidRDefault="00DB6018" w:rsidP="00DB6018">
      <w:pPr>
        <w:pStyle w:val="Paragraphedeliste"/>
        <w:autoSpaceDE w:val="0"/>
        <w:autoSpaceDN w:val="0"/>
        <w:spacing w:after="0" w:line="240" w:lineRule="auto"/>
        <w:ind w:right="266"/>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067168EB"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74BE7135"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lastRenderedPageBreak/>
              <w:t xml:space="preserve">CONTEXTE ET JUSTIFICATION DU BESOIN </w:t>
            </w:r>
          </w:p>
        </w:tc>
      </w:tr>
    </w:tbl>
    <w:p w14:paraId="03655344" w14:textId="77777777" w:rsidR="00AF484A" w:rsidRPr="00CF6D97" w:rsidRDefault="00AF484A">
      <w:pPr>
        <w:pStyle w:val="Default"/>
        <w:jc w:val="both"/>
        <w:rPr>
          <w:rFonts w:ascii="Arial Narrow" w:hAnsi="Arial Narrow"/>
          <w:color w:val="auto"/>
        </w:rPr>
      </w:pPr>
    </w:p>
    <w:p w14:paraId="47FE8F57" w14:textId="77777777" w:rsidR="00AF484A" w:rsidRPr="00CF6D97" w:rsidRDefault="00281350">
      <w:pPr>
        <w:numPr>
          <w:ilvl w:val="0"/>
          <w:numId w:val="7"/>
        </w:numPr>
        <w:jc w:val="both"/>
        <w:rPr>
          <w:rFonts w:ascii="Arial Narrow" w:hAnsi="Arial Narrow" w:cs="Arial"/>
          <w:b/>
          <w:bCs/>
          <w:sz w:val="24"/>
          <w:szCs w:val="24"/>
        </w:rPr>
      </w:pPr>
      <w:r w:rsidRPr="00CF6D97">
        <w:rPr>
          <w:rFonts w:ascii="Arial Narrow" w:hAnsi="Arial Narrow" w:cs="Arial"/>
          <w:b/>
          <w:bCs/>
          <w:sz w:val="24"/>
          <w:szCs w:val="24"/>
        </w:rPr>
        <w:t>Stratégie GIM-Horizon 2026</w:t>
      </w:r>
    </w:p>
    <w:p w14:paraId="47CC4598"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L'élaboration de la stratégie GIM-Horizon 2026 s'inscrit dans un contexte de rupture technologique et concurrentielle profonde, avec comme objectif la consolidation durable du positionnement du GIM-UEMOA comme Opérateur Global Régional intégré, innovant et technologiquement autonome. Cette stratégie s'articule autour de trois axes stratégiques majeurs :</w:t>
      </w:r>
    </w:p>
    <w:p w14:paraId="046E2352" w14:textId="77777777" w:rsidR="00AF484A" w:rsidRPr="00CF6D97" w:rsidRDefault="00AF484A">
      <w:pPr>
        <w:pStyle w:val="Default"/>
        <w:spacing w:before="120"/>
        <w:jc w:val="both"/>
        <w:rPr>
          <w:rFonts w:ascii="Arial Narrow" w:hAnsi="Arial Narrow"/>
          <w:color w:val="auto"/>
        </w:rPr>
      </w:pPr>
    </w:p>
    <w:p w14:paraId="58F81AEC" w14:textId="77777777" w:rsidR="00AF484A" w:rsidRPr="00CF6D97" w:rsidRDefault="00281350">
      <w:pPr>
        <w:pStyle w:val="Default"/>
        <w:numPr>
          <w:ilvl w:val="0"/>
          <w:numId w:val="8"/>
        </w:numPr>
        <w:ind w:left="714" w:hanging="357"/>
        <w:rPr>
          <w:rFonts w:ascii="Arial Narrow" w:hAnsi="Arial Narrow"/>
        </w:rPr>
      </w:pPr>
      <w:r w:rsidRPr="00CF6D97">
        <w:rPr>
          <w:rFonts w:ascii="Arial Narrow" w:hAnsi="Arial Narrow"/>
          <w:b/>
          <w:bCs/>
        </w:rPr>
        <w:t>L’autonomie technologique</w:t>
      </w:r>
      <w:r w:rsidRPr="00CF6D97">
        <w:rPr>
          <w:rFonts w:ascii="Arial Narrow" w:hAnsi="Arial Narrow"/>
        </w:rPr>
        <w:t> </w:t>
      </w:r>
    </w:p>
    <w:p w14:paraId="3156A35C" w14:textId="77777777" w:rsidR="00AF484A" w:rsidRPr="00CF6D97" w:rsidRDefault="00281350">
      <w:pPr>
        <w:pStyle w:val="Default"/>
        <w:spacing w:before="120"/>
        <w:jc w:val="both"/>
        <w:rPr>
          <w:rFonts w:ascii="Arial Narrow" w:hAnsi="Arial Narrow"/>
        </w:rPr>
      </w:pPr>
      <w:r w:rsidRPr="00CF6D97">
        <w:rPr>
          <w:rFonts w:ascii="Arial Narrow" w:hAnsi="Arial Narrow"/>
        </w:rPr>
        <w:t>Doter l’Institution d’infrastructures critiques et de plateformes régionales qui garantissent la souveraineté numérique de l’espace UEMOA. Il s’agit notamment de sortir de la dépendance vis-à-vis des éditeurs et fournisseurs internationaux, en développant des solutions résilientes, propres à l’UEMOA. </w:t>
      </w:r>
    </w:p>
    <w:p w14:paraId="1C8E23BB" w14:textId="77777777" w:rsidR="00AF484A" w:rsidRPr="00CF6D97" w:rsidRDefault="00AF484A">
      <w:pPr>
        <w:pStyle w:val="Default"/>
        <w:spacing w:before="120"/>
        <w:rPr>
          <w:rFonts w:ascii="Arial Narrow" w:hAnsi="Arial Narrow"/>
        </w:rPr>
      </w:pPr>
    </w:p>
    <w:p w14:paraId="427C509B" w14:textId="77777777" w:rsidR="00AF484A" w:rsidRPr="00CF6D97" w:rsidRDefault="00281350">
      <w:pPr>
        <w:pStyle w:val="Default"/>
        <w:numPr>
          <w:ilvl w:val="0"/>
          <w:numId w:val="8"/>
        </w:numPr>
        <w:ind w:left="714" w:hanging="357"/>
        <w:rPr>
          <w:rFonts w:ascii="Arial Narrow" w:hAnsi="Arial Narrow"/>
        </w:rPr>
      </w:pPr>
      <w:r w:rsidRPr="00CF6D97">
        <w:rPr>
          <w:rFonts w:ascii="Arial Narrow" w:hAnsi="Arial Narrow"/>
        </w:rPr>
        <w:t> </w:t>
      </w:r>
      <w:r w:rsidRPr="00CF6D97">
        <w:rPr>
          <w:rFonts w:ascii="Arial Narrow" w:hAnsi="Arial Narrow"/>
          <w:b/>
          <w:bCs/>
        </w:rPr>
        <w:t>Le repositionnement du GIM-UEMOA sur la transaction et ses interactions</w:t>
      </w:r>
      <w:r w:rsidRPr="00CF6D97">
        <w:rPr>
          <w:rFonts w:ascii="Arial Narrow" w:hAnsi="Arial Narrow"/>
        </w:rPr>
        <w:t> </w:t>
      </w:r>
    </w:p>
    <w:p w14:paraId="41E4FC0D" w14:textId="77777777" w:rsidR="00AF484A" w:rsidRPr="00CF6D97" w:rsidRDefault="00281350">
      <w:pPr>
        <w:pStyle w:val="Default"/>
        <w:spacing w:before="120"/>
        <w:jc w:val="both"/>
        <w:rPr>
          <w:rFonts w:ascii="Arial Narrow" w:hAnsi="Arial Narrow"/>
        </w:rPr>
      </w:pPr>
      <w:r w:rsidRPr="00CF6D97">
        <w:rPr>
          <w:rFonts w:ascii="Arial Narrow" w:hAnsi="Arial Narrow"/>
        </w:rPr>
        <w:t>Se focaliser sur la transaction et ses interactions en lieu et place des instruments de paiement. Ce repositionnement passe aussi par un leadership affirmé autour du cadre normatif et de la gouvernance des systèmes de paiement. </w:t>
      </w:r>
    </w:p>
    <w:p w14:paraId="024ED04E" w14:textId="77777777" w:rsidR="00AF484A" w:rsidRPr="00CF6D97" w:rsidRDefault="00281350">
      <w:pPr>
        <w:pStyle w:val="Default"/>
        <w:spacing w:before="120"/>
        <w:rPr>
          <w:rFonts w:ascii="Arial Narrow" w:hAnsi="Arial Narrow"/>
        </w:rPr>
      </w:pPr>
      <w:r w:rsidRPr="00CF6D97">
        <w:rPr>
          <w:rFonts w:ascii="Arial Narrow" w:hAnsi="Arial Narrow"/>
        </w:rPr>
        <w:t> </w:t>
      </w:r>
    </w:p>
    <w:p w14:paraId="1B3195A4" w14:textId="77777777" w:rsidR="00AF484A" w:rsidRPr="00CF6D97" w:rsidRDefault="00281350">
      <w:pPr>
        <w:pStyle w:val="Default"/>
        <w:numPr>
          <w:ilvl w:val="0"/>
          <w:numId w:val="9"/>
        </w:numPr>
        <w:ind w:left="714" w:hanging="357"/>
        <w:rPr>
          <w:rFonts w:ascii="Arial Narrow" w:hAnsi="Arial Narrow"/>
        </w:rPr>
      </w:pPr>
      <w:r w:rsidRPr="00CF6D97">
        <w:rPr>
          <w:rFonts w:ascii="Arial Narrow" w:hAnsi="Arial Narrow"/>
          <w:b/>
          <w:bCs/>
        </w:rPr>
        <w:t>Le développement continu de services digitaux</w:t>
      </w:r>
      <w:r w:rsidRPr="00CF6D97">
        <w:rPr>
          <w:rFonts w:ascii="Arial Narrow" w:hAnsi="Arial Narrow"/>
        </w:rPr>
        <w:t> </w:t>
      </w:r>
    </w:p>
    <w:p w14:paraId="03CC5D56" w14:textId="77777777" w:rsidR="00AF484A" w:rsidRPr="00CF6D97" w:rsidRDefault="00281350">
      <w:pPr>
        <w:pStyle w:val="Default"/>
        <w:spacing w:before="120"/>
        <w:jc w:val="both"/>
        <w:rPr>
          <w:rFonts w:ascii="Arial Narrow" w:hAnsi="Arial Narrow"/>
        </w:rPr>
      </w:pPr>
      <w:r w:rsidRPr="00CF6D97">
        <w:rPr>
          <w:rFonts w:ascii="Arial Narrow" w:hAnsi="Arial Narrow"/>
        </w:rPr>
        <w:t>Accélérer la création et l’opérationnalisation de services numériques à forte valeur ajoutée, inclusifs et accessibles à l’ensemble des usagers. L’innovation, l’interopérabilité et l’accessibilité constituent les principes clés qui guident la mise en œuvre de cet axe, dans une logique d’inclusion financière et de transformation économique. </w:t>
      </w:r>
    </w:p>
    <w:p w14:paraId="3216EBD7" w14:textId="77777777" w:rsidR="00AF484A" w:rsidRPr="00CF6D97" w:rsidRDefault="00AF484A">
      <w:pPr>
        <w:ind w:left="720"/>
        <w:jc w:val="both"/>
        <w:rPr>
          <w:rFonts w:ascii="Arial Narrow" w:hAnsi="Arial Narrow" w:cs="Arial"/>
          <w:sz w:val="24"/>
          <w:szCs w:val="24"/>
        </w:rPr>
      </w:pPr>
    </w:p>
    <w:p w14:paraId="2B0044FE" w14:textId="77777777" w:rsidR="00AF484A" w:rsidRPr="00CF6D97" w:rsidRDefault="00281350">
      <w:pPr>
        <w:numPr>
          <w:ilvl w:val="0"/>
          <w:numId w:val="7"/>
        </w:numPr>
        <w:jc w:val="both"/>
        <w:rPr>
          <w:rFonts w:ascii="Arial Narrow" w:hAnsi="Arial Narrow" w:cs="Arial"/>
          <w:b/>
          <w:bCs/>
          <w:sz w:val="24"/>
          <w:szCs w:val="24"/>
        </w:rPr>
      </w:pPr>
      <w:r w:rsidRPr="00CF6D97">
        <w:rPr>
          <w:rFonts w:ascii="Arial Narrow" w:hAnsi="Arial Narrow" w:cs="Arial"/>
          <w:b/>
          <w:bCs/>
          <w:sz w:val="24"/>
          <w:szCs w:val="24"/>
        </w:rPr>
        <w:t>Genèse de la mission</w:t>
      </w:r>
    </w:p>
    <w:p w14:paraId="41E1B112"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Dans le cadre de la mise en œuvre de son plan stratégique, le GIM-UEMOA avait entrepris de s'attacher les services d'un partenaire stratégique industriel. Les conclusions des processus de consultation successifs n'ayant pas permis de préempter un tel partenaire, la mise en œuvre du plan stratégique se poursuit selon une approche endogène, avec les ressources propres du GIM-UEMOA.</w:t>
      </w:r>
    </w:p>
    <w:p w14:paraId="5D50BF3C"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Dans ce contexte, le GIM-UEMOA a engagé une mission de spécification structurée en trois lots :</w:t>
      </w:r>
    </w:p>
    <w:p w14:paraId="76500811"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Lot 1 : spécifications de protocoles couvrant les besoins actuels — usages monétiques et de paiement (Switch, Acquisition POS/VPOS/E-commerce, Acquisition retrait, Backoffice) ;</w:t>
      </w:r>
    </w:p>
    <w:p w14:paraId="69C6C4C4"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Lot 2 : spécifications de protocoles couvrant les nouveaux usages digitaux, le Terminal Management System (TMS), la collecte et la gestion des données transactionnelles ;</w:t>
      </w:r>
    </w:p>
    <w:p w14:paraId="3921E8DE"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Lot 3 : restructuration du schéma de paiement régional.</w:t>
      </w:r>
    </w:p>
    <w:p w14:paraId="5442A551" w14:textId="77777777" w:rsidR="00AF484A" w:rsidRPr="00CF6D97" w:rsidRDefault="00AF484A">
      <w:pPr>
        <w:spacing w:after="80"/>
        <w:rPr>
          <w:rFonts w:ascii="Arial Narrow" w:hAnsi="Arial Narrow"/>
          <w:sz w:val="24"/>
          <w:szCs w:val="24"/>
        </w:rPr>
      </w:pPr>
    </w:p>
    <w:p w14:paraId="7248902C"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 xml:space="preserve">La construction de l'écosystème digital </w:t>
      </w:r>
      <w:proofErr w:type="spellStart"/>
      <w:r w:rsidRPr="00CF6D97">
        <w:rPr>
          <w:rFonts w:ascii="Arial Narrow" w:eastAsia="Arial" w:hAnsi="Arial Narrow" w:cs="Arial"/>
          <w:color w:val="1A1A1A"/>
          <w:sz w:val="24"/>
          <w:szCs w:val="24"/>
        </w:rPr>
        <w:t>GIMpay</w:t>
      </w:r>
      <w:proofErr w:type="spellEnd"/>
      <w:r w:rsidRPr="00CF6D97">
        <w:rPr>
          <w:rFonts w:ascii="Arial Narrow" w:eastAsia="Arial" w:hAnsi="Arial Narrow" w:cs="Arial"/>
          <w:color w:val="1A1A1A"/>
          <w:sz w:val="24"/>
          <w:szCs w:val="24"/>
        </w:rPr>
        <w:t xml:space="preserve"> et les évolutions en cours dans l'industrie des paiements amènent à restructurer et étendre le Lot 2 pour couvrir :</w:t>
      </w:r>
    </w:p>
    <w:p w14:paraId="263D0EAE"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lastRenderedPageBreak/>
        <w:t>Le repositionnement du schéma de paiement vers un schéma agnostique de l'instrument, multi-verticales et fondé sur l'identité transactionnelle ;</w:t>
      </w:r>
    </w:p>
    <w:p w14:paraId="5FBB405F"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spécifications complètes d'un backoffice monétique à intégrer dans une infrastructure Backoffice unifiée et un module d'autorisation unifié ;</w:t>
      </w:r>
    </w:p>
    <w:p w14:paraId="397620C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spécifications d’un module unifié d’autorisation ;</w:t>
      </w:r>
    </w:p>
    <w:p w14:paraId="113AE472"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spécifications API couvrant l'ensemble des échanges interopérables à l'échelle de la région ;</w:t>
      </w:r>
    </w:p>
    <w:p w14:paraId="4DE80639"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hAnsi="Arial Narrow"/>
          <w:sz w:val="24"/>
          <w:szCs w:val="24"/>
        </w:rPr>
        <w:t>Les spécifications d’un noyau applicatif de paiement ;</w:t>
      </w:r>
    </w:p>
    <w:p w14:paraId="4BE9884A"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spécification d'un TMS régional et d'un noyau applicatif de paiement régional.</w:t>
      </w:r>
    </w:p>
    <w:p w14:paraId="438E440A"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75BA8B44"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76FD0047"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t xml:space="preserve">DESCRIPTION DU BESOIN </w:t>
            </w:r>
          </w:p>
        </w:tc>
      </w:tr>
    </w:tbl>
    <w:p w14:paraId="3D928AC7" w14:textId="77777777" w:rsidR="00AF484A" w:rsidRPr="00CF6D97" w:rsidRDefault="00AF484A">
      <w:pPr>
        <w:pStyle w:val="Default"/>
        <w:jc w:val="both"/>
        <w:rPr>
          <w:rFonts w:ascii="Arial Narrow" w:hAnsi="Arial Narrow"/>
          <w:color w:val="auto"/>
          <w:szCs w:val="22"/>
        </w:rPr>
      </w:pPr>
    </w:p>
    <w:p w14:paraId="581440F5"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L’autonomisation technologique requiert la mobilisation de capacités permettant au GIM-UEMOA d’assurer, une maîtrise progressive de ses plateformes monétiques, de paiement et de nouveaux usages. La dépendance vis-à-vis d'éditeurs propriétaires constitue un handicap structurel à cet objectif, à l'excellence opérationnelle et aux perspectives de collecte et de gestion des données de paiement.</w:t>
      </w:r>
    </w:p>
    <w:p w14:paraId="1FF6C7D7"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La présente mission porte sur la spécification des composants fondamentaux du nouveau socle technologique du GIM-UEMOA, structurés autour de six objets principaux interdépendants.</w:t>
      </w:r>
    </w:p>
    <w:p w14:paraId="58805204"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Repositionnement du Schéma de Paiement</w:t>
      </w:r>
    </w:p>
    <w:p w14:paraId="5ABE72AC" w14:textId="77777777" w:rsidR="00AF484A" w:rsidRPr="00CF6D97" w:rsidRDefault="00281350">
      <w:pPr>
        <w:ind w:left="360"/>
        <w:jc w:val="both"/>
        <w:rPr>
          <w:rFonts w:ascii="Arial Narrow" w:hAnsi="Arial Narrow" w:cs="Arial"/>
          <w:b/>
          <w:bCs/>
          <w:sz w:val="24"/>
          <w:szCs w:val="24"/>
        </w:rPr>
      </w:pPr>
      <w:r w:rsidRPr="00CF6D97">
        <w:rPr>
          <w:rFonts w:ascii="Arial Narrow" w:hAnsi="Arial Narrow" w:cs="Arial"/>
          <w:b/>
          <w:bCs/>
          <w:sz w:val="24"/>
          <w:szCs w:val="24"/>
        </w:rPr>
        <w:t>3.1.1 Vision et ambition</w:t>
      </w:r>
    </w:p>
    <w:p w14:paraId="1ADD41EA"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Le GIM-UEMOA entreprend de repositionner son schéma de paiement régional : d'un schéma centré sur la carte bancaire vers un schéma agnostique de l'instrument de paiement, capable de traiter de manière native et interopérable toute transaction électronique, quel que soit le vecteur utilisé — carte, mobile money, compte bancaire ou tout autre instrument de paiement électronique reconnu dans l'espace UEMOA.</w:t>
      </w:r>
    </w:p>
    <w:p w14:paraId="59831D58" w14:textId="683A2391"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Ce repositionnement constitue une rupture architecturale et fonctionnelle par rapport au schéma actuel. Il s'accompagne d'une extension vers un modèle multi-verticales, intégrant outre le paiement, les verticales Transport, Énergie, Aérien</w:t>
      </w:r>
      <w:r w:rsidR="00FB7CF9" w:rsidRPr="00CF6D97">
        <w:rPr>
          <w:rFonts w:ascii="Arial Narrow" w:hAnsi="Arial Narrow"/>
          <w:sz w:val="24"/>
          <w:szCs w:val="24"/>
        </w:rPr>
        <w:t>, Services Gouvernementaux</w:t>
      </w:r>
      <w:r w:rsidRPr="00CF6D97">
        <w:rPr>
          <w:rFonts w:ascii="Arial Narrow" w:hAnsi="Arial Narrow"/>
          <w:sz w:val="24"/>
          <w:szCs w:val="24"/>
        </w:rPr>
        <w:t xml:space="preserve"> et </w:t>
      </w:r>
      <w:proofErr w:type="spellStart"/>
      <w:r w:rsidRPr="00CF6D97">
        <w:rPr>
          <w:rFonts w:ascii="Arial Narrow" w:hAnsi="Arial Narrow"/>
          <w:sz w:val="24"/>
          <w:szCs w:val="24"/>
        </w:rPr>
        <w:t>Retailer</w:t>
      </w:r>
      <w:proofErr w:type="spellEnd"/>
      <w:r w:rsidRPr="00CF6D97">
        <w:rPr>
          <w:rFonts w:ascii="Arial Narrow" w:hAnsi="Arial Narrow"/>
          <w:sz w:val="24"/>
          <w:szCs w:val="24"/>
        </w:rPr>
        <w:t>, avec la Data comme couche transversale.</w:t>
      </w:r>
    </w:p>
    <w:p w14:paraId="0E8A139E" w14:textId="77777777" w:rsidR="00AF484A" w:rsidRPr="00CF6D97" w:rsidRDefault="00AF484A">
      <w:pPr>
        <w:autoSpaceDE w:val="0"/>
        <w:autoSpaceDN w:val="0"/>
        <w:adjustRightInd w:val="0"/>
        <w:spacing w:after="0"/>
        <w:jc w:val="both"/>
        <w:rPr>
          <w:rFonts w:ascii="Arial Narrow" w:hAnsi="Arial Narrow"/>
          <w:sz w:val="24"/>
          <w:szCs w:val="24"/>
        </w:rPr>
      </w:pPr>
    </w:p>
    <w:p w14:paraId="5EEFF385" w14:textId="77777777" w:rsidR="00AF484A" w:rsidRPr="00CF6D97" w:rsidRDefault="00281350">
      <w:pPr>
        <w:ind w:left="360"/>
        <w:jc w:val="both"/>
        <w:rPr>
          <w:rFonts w:ascii="Arial Narrow" w:hAnsi="Arial Narrow" w:cs="Arial"/>
          <w:b/>
          <w:bCs/>
          <w:sz w:val="24"/>
          <w:szCs w:val="24"/>
        </w:rPr>
      </w:pPr>
      <w:r w:rsidRPr="00CF6D97">
        <w:rPr>
          <w:rFonts w:ascii="Arial Narrow" w:hAnsi="Arial Narrow" w:cs="Arial"/>
          <w:b/>
          <w:bCs/>
          <w:sz w:val="24"/>
          <w:szCs w:val="24"/>
        </w:rPr>
        <w:t>3.1.2 Architecture applicative de la nouvelle application du schéma de paiement</w:t>
      </w:r>
    </w:p>
    <w:p w14:paraId="5AE5D232" w14:textId="6F012268" w:rsidR="00AF484A" w:rsidRPr="00CF6D97" w:rsidRDefault="00281350">
      <w:pPr>
        <w:autoSpaceDE w:val="0"/>
        <w:autoSpaceDN w:val="0"/>
        <w:adjustRightInd w:val="0"/>
        <w:spacing w:after="0"/>
        <w:jc w:val="both"/>
        <w:rPr>
          <w:rFonts w:ascii="Arial Narrow Italic" w:eastAsia="Arial" w:hAnsi="Arial Narrow Italic" w:cs="Arial Narrow Italic"/>
          <w:i/>
          <w:color w:val="1A1A1A"/>
          <w:sz w:val="24"/>
          <w:szCs w:val="24"/>
        </w:rPr>
      </w:pPr>
      <w:r w:rsidRPr="00CF6D97">
        <w:rPr>
          <w:rFonts w:ascii="Arial Narrow Italic" w:hAnsi="Arial Narrow Italic" w:cs="Arial Narrow Italic"/>
          <w:i/>
          <w:sz w:val="24"/>
          <w:szCs w:val="24"/>
        </w:rPr>
        <w:t xml:space="preserve"> </w:t>
      </w:r>
      <w:r w:rsidRPr="00CF6D97">
        <w:rPr>
          <w:rFonts w:ascii="Arial Narrow Italic" w:eastAsia="Arial" w:hAnsi="Arial Narrow Italic" w:cs="Arial Narrow Italic"/>
          <w:i/>
          <w:color w:val="1A1A1A"/>
          <w:sz w:val="24"/>
          <w:szCs w:val="24"/>
        </w:rPr>
        <w:t xml:space="preserve">La nouvelle application </w:t>
      </w:r>
      <w:r w:rsidR="00FB7CF9" w:rsidRPr="00CF6D97">
        <w:rPr>
          <w:rFonts w:ascii="Arial Narrow Italic" w:eastAsia="Arial" w:hAnsi="Arial Narrow Italic" w:cs="Arial Narrow Italic"/>
          <w:i/>
          <w:color w:val="1A1A1A"/>
          <w:sz w:val="24"/>
          <w:szCs w:val="24"/>
        </w:rPr>
        <w:t xml:space="preserve">du schéma de paiement GIM-UEMOA </w:t>
      </w:r>
      <w:r w:rsidRPr="00CF6D97">
        <w:rPr>
          <w:rFonts w:ascii="Arial Narrow Italic" w:eastAsia="Arial" w:hAnsi="Arial Narrow Italic" w:cs="Arial Narrow Italic"/>
          <w:i/>
          <w:color w:val="1A1A1A"/>
          <w:sz w:val="24"/>
          <w:szCs w:val="24"/>
        </w:rPr>
        <w:t xml:space="preserve">repose sur une architecture en deux couches complémentaires et indissociables, conçue pour assurer à la fois la conformité aux standards de paiement </w:t>
      </w:r>
      <w:proofErr w:type="spellStart"/>
      <w:r w:rsidRPr="00CF6D97">
        <w:rPr>
          <w:rFonts w:ascii="Arial Narrow Italic" w:eastAsia="Arial" w:hAnsi="Arial Narrow Italic" w:cs="Arial Narrow Italic"/>
          <w:i/>
          <w:color w:val="1A1A1A"/>
          <w:sz w:val="24"/>
          <w:szCs w:val="24"/>
        </w:rPr>
        <w:t>contactless</w:t>
      </w:r>
      <w:proofErr w:type="spellEnd"/>
      <w:r w:rsidRPr="00CF6D97">
        <w:rPr>
          <w:rFonts w:ascii="Arial Narrow Italic" w:eastAsia="Arial" w:hAnsi="Arial Narrow Italic" w:cs="Arial Narrow Italic"/>
          <w:i/>
          <w:color w:val="1A1A1A"/>
          <w:sz w:val="24"/>
          <w:szCs w:val="24"/>
        </w:rPr>
        <w:t xml:space="preserve"> internationaux, la souveraineté technologique régionale et l'agnosticisme instrumental.</w:t>
      </w:r>
    </w:p>
    <w:p w14:paraId="5209DB90" w14:textId="77777777" w:rsidR="00AF484A" w:rsidRPr="00CF6D97" w:rsidRDefault="00AF484A">
      <w:pPr>
        <w:autoSpaceDE w:val="0"/>
        <w:autoSpaceDN w:val="0"/>
        <w:adjustRightInd w:val="0"/>
        <w:spacing w:after="0"/>
        <w:jc w:val="both"/>
        <w:rPr>
          <w:rFonts w:ascii="Arial" w:eastAsia="Arial" w:hAnsi="Arial" w:cs="Arial"/>
          <w:color w:val="1A1A1A"/>
        </w:rPr>
      </w:pPr>
    </w:p>
    <w:p w14:paraId="5EE0EC3F" w14:textId="77777777" w:rsidR="00AF484A" w:rsidRPr="00CF6D97" w:rsidRDefault="00AF484A">
      <w:pPr>
        <w:autoSpaceDE w:val="0"/>
        <w:autoSpaceDN w:val="0"/>
        <w:adjustRightInd w:val="0"/>
        <w:spacing w:after="0"/>
        <w:jc w:val="both"/>
        <w:rPr>
          <w:rFonts w:ascii="Arial" w:eastAsia="Arial" w:hAnsi="Arial" w:cs="Arial"/>
          <w:color w:val="1A1A1A"/>
        </w:rPr>
      </w:pPr>
    </w:p>
    <w:p w14:paraId="4EA8B6E3" w14:textId="77777777" w:rsidR="00AF484A" w:rsidRPr="00CF6D97" w:rsidRDefault="00AF484A">
      <w:pPr>
        <w:autoSpaceDE w:val="0"/>
        <w:autoSpaceDN w:val="0"/>
        <w:adjustRightInd w:val="0"/>
        <w:spacing w:after="0"/>
        <w:jc w:val="both"/>
        <w:rPr>
          <w:rFonts w:ascii="Arial" w:eastAsia="Arial" w:hAnsi="Arial" w:cs="Arial"/>
          <w:color w:val="1A1A1A"/>
        </w:rPr>
      </w:pPr>
    </w:p>
    <w:p w14:paraId="28826E90" w14:textId="77777777" w:rsidR="00AF484A" w:rsidRPr="00CF6D97" w:rsidRDefault="00AF484A">
      <w:pPr>
        <w:autoSpaceDE w:val="0"/>
        <w:autoSpaceDN w:val="0"/>
        <w:adjustRightInd w:val="0"/>
        <w:spacing w:after="0"/>
        <w:jc w:val="both"/>
        <w:rPr>
          <w:rFonts w:ascii="Arial" w:eastAsia="Arial" w:hAnsi="Arial" w:cs="Arial"/>
          <w:color w:val="1A1A1A"/>
        </w:rPr>
      </w:pPr>
    </w:p>
    <w:p w14:paraId="6C14B0DF" w14:textId="77777777" w:rsidR="00AF484A" w:rsidRPr="00CF6D97" w:rsidRDefault="00AF484A">
      <w:pPr>
        <w:autoSpaceDE w:val="0"/>
        <w:autoSpaceDN w:val="0"/>
        <w:adjustRightInd w:val="0"/>
        <w:spacing w:after="0"/>
        <w:jc w:val="both"/>
        <w:rPr>
          <w:rFonts w:ascii="Arial" w:eastAsia="Arial" w:hAnsi="Arial" w:cs="Arial"/>
          <w:color w:val="1A1A1A"/>
        </w:rPr>
      </w:pPr>
    </w:p>
    <w:tbl>
      <w:tblPr>
        <w:tblW w:w="10484"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4"/>
      </w:tblGrid>
      <w:tr w:rsidR="00AF484A" w:rsidRPr="00CF6D97" w14:paraId="4FC78F70" w14:textId="77777777">
        <w:tc>
          <w:tcPr>
            <w:tcW w:w="10484" w:type="dxa"/>
            <w:tcBorders>
              <w:top w:val="single" w:sz="0" w:space="0" w:color="C8972B"/>
              <w:left w:val="single" w:sz="0" w:space="0" w:color="C8972B"/>
              <w:bottom w:val="single" w:sz="0" w:space="0" w:color="C8972B"/>
              <w:right w:val="single" w:sz="0" w:space="0" w:color="C8972B"/>
            </w:tcBorders>
            <w:shd w:val="clear" w:color="auto" w:fill="1A3A70"/>
            <w:tcMar>
              <w:top w:w="120" w:type="dxa"/>
              <w:left w:w="200" w:type="dxa"/>
              <w:bottom w:w="120" w:type="dxa"/>
              <w:right w:w="200" w:type="dxa"/>
            </w:tcMar>
          </w:tcPr>
          <w:p w14:paraId="39C9A97F" w14:textId="77777777" w:rsidR="00AF484A" w:rsidRPr="00CF6D97" w:rsidRDefault="00281350">
            <w:pPr>
              <w:spacing w:before="80" w:after="30"/>
              <w:jc w:val="center"/>
              <w:rPr>
                <w:rFonts w:ascii="Arial Narrow Regular" w:hAnsi="Arial Narrow Regular" w:cs="Arial Narrow Regular"/>
              </w:rPr>
            </w:pPr>
            <w:r w:rsidRPr="00CF6D97">
              <w:rPr>
                <w:rFonts w:ascii="Arial Narrow Regular" w:eastAsia="Arial" w:hAnsi="Arial Narrow Regular" w:cs="Arial Narrow Regular"/>
                <w:bCs/>
                <w:color w:val="FFFFFF"/>
              </w:rPr>
              <w:lastRenderedPageBreak/>
              <w:t>COUCHE 2 — Référentiel d'Identité et de Profils Transactionnels</w:t>
            </w:r>
          </w:p>
          <w:p w14:paraId="591481B1" w14:textId="77777777" w:rsidR="00AF484A" w:rsidRPr="00CF6D97" w:rsidRDefault="00281350">
            <w:pPr>
              <w:spacing w:after="80"/>
              <w:jc w:val="center"/>
            </w:pPr>
            <w:r w:rsidRPr="00CF6D97">
              <w:rPr>
                <w:rFonts w:ascii="Arial Narrow Regular" w:eastAsia="Arial" w:hAnsi="Arial Narrow Regular" w:cs="Arial Narrow Regular"/>
                <w:iCs/>
                <w:color w:val="FDF3DC"/>
              </w:rPr>
              <w:t>Gestion des alias de paiement · Profils transactionnels multi-instruments · Sélection dynamique · QR Code d'identité · Routage intelligent</w:t>
            </w:r>
          </w:p>
        </w:tc>
      </w:tr>
      <w:tr w:rsidR="00AF484A" w:rsidRPr="00CF6D97" w14:paraId="6D45364D" w14:textId="77777777">
        <w:tc>
          <w:tcPr>
            <w:tcW w:w="10484" w:type="dxa"/>
            <w:tcBorders>
              <w:top w:val="single" w:sz="0" w:space="0" w:color="C8972B"/>
              <w:left w:val="single" w:sz="0" w:space="0" w:color="C8972B"/>
              <w:bottom w:val="single" w:sz="0" w:space="0" w:color="C8972B"/>
              <w:right w:val="single" w:sz="0" w:space="0" w:color="C8972B"/>
            </w:tcBorders>
            <w:shd w:val="clear" w:color="auto" w:fill="003087"/>
            <w:tcMar>
              <w:top w:w="80" w:type="dxa"/>
              <w:left w:w="200" w:type="dxa"/>
              <w:bottom w:w="80" w:type="dxa"/>
              <w:right w:w="200" w:type="dxa"/>
            </w:tcMar>
          </w:tcPr>
          <w:p w14:paraId="62014BDF" w14:textId="4814F722" w:rsidR="00AF484A" w:rsidRPr="00CF6D97" w:rsidRDefault="00CF6D97">
            <w:pPr>
              <w:spacing w:before="60" w:after="60"/>
              <w:jc w:val="center"/>
            </w:pPr>
            <w:r w:rsidRPr="00CF6D97">
              <w:rPr>
                <w:rFonts w:ascii="Arial Narrow Italic" w:eastAsia="Arial" w:hAnsi="Arial Narrow Italic" w:cs="Arial Narrow Italic"/>
                <w:i/>
                <w:iCs/>
                <w:color w:val="C8972B"/>
              </w:rPr>
              <w:t>↕ Interface</w:t>
            </w:r>
            <w:r w:rsidR="00281350" w:rsidRPr="00CF6D97">
              <w:rPr>
                <w:rFonts w:ascii="Arial Narrow Italic" w:eastAsia="Arial" w:hAnsi="Arial Narrow Italic" w:cs="Arial Narrow Italic"/>
                <w:i/>
                <w:iCs/>
                <w:color w:val="C8972B"/>
              </w:rPr>
              <w:t xml:space="preserve"> standardisée — Protocoles de résolution d'alias / appel de profil transactionnel</w:t>
            </w:r>
          </w:p>
        </w:tc>
      </w:tr>
      <w:tr w:rsidR="00AF484A" w:rsidRPr="00CF6D97" w14:paraId="76A808F4" w14:textId="77777777">
        <w:tc>
          <w:tcPr>
            <w:tcW w:w="10484" w:type="dxa"/>
            <w:tcBorders>
              <w:top w:val="single" w:sz="0" w:space="0" w:color="C8972B"/>
              <w:left w:val="single" w:sz="0" w:space="0" w:color="C8972B"/>
              <w:bottom w:val="single" w:sz="0" w:space="0" w:color="C8972B"/>
              <w:right w:val="single" w:sz="0" w:space="0" w:color="C8972B"/>
            </w:tcBorders>
            <w:shd w:val="clear" w:color="auto" w:fill="003087"/>
            <w:tcMar>
              <w:top w:w="120" w:type="dxa"/>
              <w:left w:w="200" w:type="dxa"/>
              <w:bottom w:w="120" w:type="dxa"/>
              <w:right w:w="200" w:type="dxa"/>
            </w:tcMar>
          </w:tcPr>
          <w:p w14:paraId="50F452C8" w14:textId="77777777" w:rsidR="00AF484A" w:rsidRPr="00CF6D97" w:rsidRDefault="00281350">
            <w:pPr>
              <w:spacing w:before="80" w:after="30"/>
              <w:jc w:val="center"/>
              <w:rPr>
                <w:rFonts w:ascii="Arial Narrow Italic" w:hAnsi="Arial Narrow Italic" w:cs="Arial Narrow Italic"/>
                <w:i/>
              </w:rPr>
            </w:pPr>
            <w:r w:rsidRPr="00CF6D97">
              <w:rPr>
                <w:rFonts w:ascii="Arial Narrow Italic" w:eastAsia="Arial" w:hAnsi="Arial Narrow Italic" w:cs="Arial Narrow Italic"/>
                <w:bCs/>
                <w:i/>
                <w:color w:val="FFFFFF"/>
              </w:rPr>
              <w:t>COUCHE 1 — Application de Paiement CPACE (Socle standardisé)</w:t>
            </w:r>
          </w:p>
          <w:p w14:paraId="47E71E26" w14:textId="77777777" w:rsidR="00AF484A" w:rsidRPr="00CF6D97" w:rsidRDefault="00281350">
            <w:pPr>
              <w:spacing w:after="80"/>
              <w:jc w:val="center"/>
            </w:pPr>
            <w:r w:rsidRPr="00CF6D97">
              <w:rPr>
                <w:rFonts w:ascii="Arial Narrow Italic" w:eastAsia="Arial" w:hAnsi="Arial Narrow Italic" w:cs="Arial Narrow Italic"/>
                <w:i/>
                <w:iCs/>
                <w:color w:val="D5E8F0"/>
              </w:rPr>
              <w:t xml:space="preserve">Standard ouvert ECPC · Extension </w:t>
            </w:r>
            <w:proofErr w:type="spellStart"/>
            <w:r w:rsidRPr="00CF6D97">
              <w:rPr>
                <w:rFonts w:ascii="Arial Narrow Italic" w:eastAsia="Arial" w:hAnsi="Arial Narrow Italic" w:cs="Arial Narrow Italic"/>
                <w:i/>
                <w:iCs/>
                <w:color w:val="D5E8F0"/>
              </w:rPr>
              <w:t>contactless</w:t>
            </w:r>
            <w:proofErr w:type="spellEnd"/>
            <w:r w:rsidRPr="00CF6D97">
              <w:rPr>
                <w:rFonts w:ascii="Arial Narrow Italic" w:eastAsia="Arial" w:hAnsi="Arial Narrow Italic" w:cs="Arial Narrow Italic"/>
                <w:i/>
                <w:iCs/>
                <w:color w:val="D5E8F0"/>
              </w:rPr>
              <w:t xml:space="preserve"> de la CPA · Certification kernel · Co-</w:t>
            </w:r>
            <w:proofErr w:type="spellStart"/>
            <w:r w:rsidRPr="00CF6D97">
              <w:rPr>
                <w:rFonts w:ascii="Arial Narrow Italic" w:eastAsia="Arial" w:hAnsi="Arial Narrow Italic" w:cs="Arial Narrow Italic"/>
                <w:i/>
                <w:iCs/>
                <w:color w:val="D5E8F0"/>
              </w:rPr>
              <w:t>badging</w:t>
            </w:r>
            <w:proofErr w:type="spellEnd"/>
            <w:r w:rsidRPr="00CF6D97">
              <w:rPr>
                <w:rFonts w:ascii="Arial Narrow Italic" w:eastAsia="Arial" w:hAnsi="Arial Narrow Italic" w:cs="Arial Narrow Italic"/>
                <w:i/>
                <w:iCs/>
                <w:color w:val="D5E8F0"/>
              </w:rPr>
              <w:t xml:space="preserve"> · Interopérabilité </w:t>
            </w:r>
            <w:proofErr w:type="spellStart"/>
            <w:r w:rsidRPr="00CF6D97">
              <w:rPr>
                <w:rFonts w:ascii="Arial Narrow Italic" w:eastAsia="Arial" w:hAnsi="Arial Narrow Italic" w:cs="Arial Narrow Italic"/>
                <w:i/>
                <w:iCs/>
                <w:color w:val="D5E8F0"/>
              </w:rPr>
              <w:t>contactless</w:t>
            </w:r>
            <w:proofErr w:type="spellEnd"/>
          </w:p>
        </w:tc>
      </w:tr>
    </w:tbl>
    <w:p w14:paraId="04E47D8C" w14:textId="77777777" w:rsidR="00AF484A" w:rsidRPr="00CF6D97" w:rsidRDefault="00AF484A">
      <w:pPr>
        <w:autoSpaceDE w:val="0"/>
        <w:autoSpaceDN w:val="0"/>
        <w:adjustRightInd w:val="0"/>
        <w:spacing w:after="0"/>
        <w:jc w:val="both"/>
        <w:rPr>
          <w:rFonts w:ascii="Arial" w:eastAsia="Arial" w:hAnsi="Arial" w:cs="Arial"/>
          <w:color w:val="1A1A1A"/>
        </w:rPr>
      </w:pPr>
    </w:p>
    <w:p w14:paraId="52A1BA7D" w14:textId="77777777" w:rsidR="00AF484A" w:rsidRPr="00CF6D97" w:rsidRDefault="00281350">
      <w:pPr>
        <w:spacing w:before="160" w:after="80"/>
        <w:rPr>
          <w:rFonts w:ascii="Arial Narrow Regular" w:hAnsi="Arial Narrow Regular" w:cs="Arial Narrow Regular"/>
          <w:iCs/>
          <w:color w:val="1F497D" w:themeColor="text2"/>
          <w:sz w:val="24"/>
          <w:szCs w:val="24"/>
        </w:rPr>
      </w:pPr>
      <w:r w:rsidRPr="00CF6D97">
        <w:rPr>
          <w:rFonts w:ascii="Arial Narrow Regular" w:eastAsia="Arial" w:hAnsi="Arial Narrow Regular" w:cs="Arial Narrow Regular"/>
          <w:bCs/>
          <w:iCs/>
          <w:color w:val="1F497D" w:themeColor="text2"/>
          <w:sz w:val="24"/>
          <w:szCs w:val="24"/>
        </w:rPr>
        <w:t>Couche 1 — Application CPACE : socle standardisé de la nouvelle application du schéma</w:t>
      </w:r>
    </w:p>
    <w:p w14:paraId="31D478B3" w14:textId="77777777" w:rsidR="00AF484A" w:rsidRPr="00CF6D97" w:rsidRDefault="00281350">
      <w:pPr>
        <w:spacing w:before="60" w:after="100"/>
        <w:jc w:val="both"/>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 xml:space="preserve">L'application de paiement actuelle du schéma est le CPA (Common Payment Application). La migration vers un schéma </w:t>
      </w:r>
      <w:proofErr w:type="spellStart"/>
      <w:r w:rsidRPr="00CF6D97">
        <w:rPr>
          <w:rFonts w:ascii="Arial Narrow Regular" w:eastAsia="Arial" w:hAnsi="Arial Narrow Regular" w:cs="Arial Narrow Regular"/>
          <w:iCs/>
          <w:color w:val="1A1A1A"/>
          <w:sz w:val="24"/>
          <w:szCs w:val="24"/>
        </w:rPr>
        <w:t>contactless</w:t>
      </w:r>
      <w:proofErr w:type="spellEnd"/>
      <w:r w:rsidRPr="00CF6D97">
        <w:rPr>
          <w:rFonts w:ascii="Arial Narrow Regular" w:eastAsia="Arial" w:hAnsi="Arial Narrow Regular" w:cs="Arial Narrow Regular"/>
          <w:iCs/>
          <w:color w:val="1A1A1A"/>
          <w:sz w:val="24"/>
          <w:szCs w:val="24"/>
        </w:rPr>
        <w:t xml:space="preserve">-natif et agnostique s'appuie sur le CPACE (Common Payment Application </w:t>
      </w:r>
      <w:proofErr w:type="spellStart"/>
      <w:r w:rsidRPr="00CF6D97">
        <w:rPr>
          <w:rFonts w:ascii="Arial Narrow Regular" w:eastAsia="Arial" w:hAnsi="Arial Narrow Regular" w:cs="Arial Narrow Regular"/>
          <w:iCs/>
          <w:color w:val="1A1A1A"/>
          <w:sz w:val="24"/>
          <w:szCs w:val="24"/>
        </w:rPr>
        <w:t>Contactless</w:t>
      </w:r>
      <w:proofErr w:type="spellEnd"/>
      <w:r w:rsidRPr="00CF6D97">
        <w:rPr>
          <w:rFonts w:ascii="Arial Narrow Regular" w:eastAsia="Arial" w:hAnsi="Arial Narrow Regular" w:cs="Arial Narrow Regular"/>
          <w:iCs/>
          <w:color w:val="1A1A1A"/>
          <w:sz w:val="24"/>
          <w:szCs w:val="24"/>
        </w:rPr>
        <w:t xml:space="preserve"> Extension) comme socle standardisé. Il s’agit d’une extension </w:t>
      </w:r>
      <w:proofErr w:type="spellStart"/>
      <w:r w:rsidRPr="00CF6D97">
        <w:rPr>
          <w:rFonts w:ascii="Arial Narrow Regular" w:eastAsia="Arial" w:hAnsi="Arial Narrow Regular" w:cs="Arial Narrow Regular"/>
          <w:iCs/>
          <w:color w:val="1A1A1A"/>
          <w:sz w:val="24"/>
          <w:szCs w:val="24"/>
        </w:rPr>
        <w:t>contactless</w:t>
      </w:r>
      <w:proofErr w:type="spellEnd"/>
      <w:r w:rsidRPr="00CF6D97">
        <w:rPr>
          <w:rFonts w:ascii="Arial Narrow Regular" w:eastAsia="Arial" w:hAnsi="Arial Narrow Regular" w:cs="Arial Narrow Regular"/>
          <w:iCs/>
          <w:color w:val="1A1A1A"/>
          <w:sz w:val="24"/>
          <w:szCs w:val="24"/>
        </w:rPr>
        <w:t xml:space="preserve"> du CPA, développée dans le cadre des travaux de standardisation de l'ECPC (</w:t>
      </w:r>
      <w:proofErr w:type="spellStart"/>
      <w:r w:rsidRPr="00CF6D97">
        <w:rPr>
          <w:rFonts w:ascii="Arial Narrow Regular" w:eastAsia="Arial" w:hAnsi="Arial Narrow Regular" w:cs="Arial Narrow Regular"/>
          <w:iCs/>
          <w:color w:val="1A1A1A"/>
          <w:sz w:val="24"/>
          <w:szCs w:val="24"/>
        </w:rPr>
        <w:t>European</w:t>
      </w:r>
      <w:proofErr w:type="spellEnd"/>
      <w:r w:rsidRPr="00CF6D97">
        <w:rPr>
          <w:rFonts w:ascii="Arial Narrow Regular" w:eastAsia="Arial" w:hAnsi="Arial Narrow Regular" w:cs="Arial Narrow Regular"/>
          <w:iCs/>
          <w:color w:val="1A1A1A"/>
          <w:sz w:val="24"/>
          <w:szCs w:val="24"/>
        </w:rPr>
        <w:t xml:space="preserve"> Card Payment </w:t>
      </w:r>
      <w:proofErr w:type="spellStart"/>
      <w:r w:rsidRPr="00CF6D97">
        <w:rPr>
          <w:rFonts w:ascii="Arial Narrow Regular" w:eastAsia="Arial" w:hAnsi="Arial Narrow Regular" w:cs="Arial Narrow Regular"/>
          <w:iCs/>
          <w:color w:val="1A1A1A"/>
          <w:sz w:val="24"/>
          <w:szCs w:val="24"/>
        </w:rPr>
        <w:t>Cooperation</w:t>
      </w:r>
      <w:proofErr w:type="spellEnd"/>
      <w:r w:rsidRPr="00CF6D97">
        <w:rPr>
          <w:rFonts w:ascii="Arial Narrow Regular" w:eastAsia="Arial" w:hAnsi="Arial Narrow Regular" w:cs="Arial Narrow Regular"/>
          <w:iCs/>
          <w:color w:val="1A1A1A"/>
          <w:sz w:val="24"/>
          <w:szCs w:val="24"/>
        </w:rPr>
        <w:t xml:space="preserve">), société coopérative réunissant les principaux schémas domestiques européens. Elle assure une continuité applicative avec l'existant CPA tout en intégrant nativement les cas d'usage </w:t>
      </w:r>
      <w:proofErr w:type="spellStart"/>
      <w:r w:rsidRPr="00CF6D97">
        <w:rPr>
          <w:rFonts w:ascii="Arial Narrow Regular" w:eastAsia="Arial" w:hAnsi="Arial Narrow Regular" w:cs="Arial Narrow Regular"/>
          <w:iCs/>
          <w:color w:val="1A1A1A"/>
          <w:sz w:val="24"/>
          <w:szCs w:val="24"/>
        </w:rPr>
        <w:t>contactless</w:t>
      </w:r>
      <w:proofErr w:type="spellEnd"/>
      <w:r w:rsidRPr="00CF6D97">
        <w:rPr>
          <w:rFonts w:ascii="Arial Narrow Regular" w:eastAsia="Arial" w:hAnsi="Arial Narrow Regular" w:cs="Arial Narrow Regular"/>
          <w:iCs/>
          <w:color w:val="1A1A1A"/>
          <w:sz w:val="24"/>
          <w:szCs w:val="24"/>
        </w:rPr>
        <w:t xml:space="preserve"> carte et mobile (NFC, HCE).</w:t>
      </w:r>
    </w:p>
    <w:p w14:paraId="404A03E0" w14:textId="77777777" w:rsidR="00AF484A" w:rsidRPr="00CF6D97" w:rsidRDefault="00281350">
      <w:pPr>
        <w:spacing w:before="60" w:after="100"/>
        <w:jc w:val="both"/>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 xml:space="preserve">Le GIM-UEMOA inscrit son adoption de CPACE dans une démarche d'adhésion à l'ECPC en tant que membre coopératif, afin de bénéficier de la mutualisation de la roadmap des spécifications, du </w:t>
      </w:r>
      <w:proofErr w:type="spellStart"/>
      <w:r w:rsidRPr="00CF6D97">
        <w:rPr>
          <w:rFonts w:ascii="Arial Narrow Regular" w:eastAsia="Arial" w:hAnsi="Arial Narrow Regular" w:cs="Arial Narrow Regular"/>
          <w:iCs/>
          <w:color w:val="1A1A1A"/>
          <w:sz w:val="24"/>
          <w:szCs w:val="24"/>
        </w:rPr>
        <w:t>framework</w:t>
      </w:r>
      <w:proofErr w:type="spellEnd"/>
      <w:r w:rsidRPr="00CF6D97">
        <w:rPr>
          <w:rFonts w:ascii="Arial Narrow Regular" w:eastAsia="Arial" w:hAnsi="Arial Narrow Regular" w:cs="Arial Narrow Regular"/>
          <w:iCs/>
          <w:color w:val="1A1A1A"/>
          <w:sz w:val="24"/>
          <w:szCs w:val="24"/>
        </w:rPr>
        <w:t xml:space="preserve"> de certification et du support d'implémentation mis à disposition par l'ECPC à l'ensemble de ses membres. </w:t>
      </w:r>
    </w:p>
    <w:p w14:paraId="2DB8525D" w14:textId="77777777" w:rsidR="00AF484A" w:rsidRPr="00CF6D97" w:rsidRDefault="00281350">
      <w:pPr>
        <w:spacing w:before="60" w:after="100"/>
        <w:jc w:val="both"/>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domaines de customisation du socle CPACE à instruire pour le profil GIM-UEMOA comprennent notamment :</w:t>
      </w:r>
    </w:p>
    <w:p w14:paraId="4AE7E236"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spécificités du schéma GIM-UEMOA (règles métier, gouvernance, identité régionale) ;</w:t>
      </w:r>
    </w:p>
    <w:p w14:paraId="044D6FDF"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 xml:space="preserve">Le support du </w:t>
      </w:r>
      <w:proofErr w:type="spellStart"/>
      <w:r w:rsidRPr="00CF6D97">
        <w:rPr>
          <w:rFonts w:ascii="Arial Narrow Regular" w:eastAsia="Arial" w:hAnsi="Arial Narrow Regular" w:cs="Arial Narrow Regular"/>
          <w:iCs/>
          <w:color w:val="1A1A1A"/>
          <w:sz w:val="24"/>
          <w:szCs w:val="24"/>
        </w:rPr>
        <w:t>co-badging</w:t>
      </w:r>
      <w:proofErr w:type="spellEnd"/>
      <w:r w:rsidRPr="00CF6D97">
        <w:rPr>
          <w:rFonts w:ascii="Arial Narrow Regular" w:eastAsia="Arial" w:hAnsi="Arial Narrow Regular" w:cs="Arial Narrow Regular"/>
          <w:iCs/>
          <w:color w:val="1A1A1A"/>
          <w:sz w:val="24"/>
          <w:szCs w:val="24"/>
        </w:rPr>
        <w:t xml:space="preserve"> (instrument GIM + réseau international sur le même support) ;</w:t>
      </w:r>
    </w:p>
    <w:p w14:paraId="1B558D5E"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exigences liées à l'émission (personnalisation, provisioning, cycle de vie) ;</w:t>
      </w:r>
    </w:p>
    <w:p w14:paraId="2C4750DA"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exigences liées à l'acquisition (configuration terminal, flux d'autorisation, réconciliation) ;</w:t>
      </w:r>
    </w:p>
    <w:p w14:paraId="2E0182CA"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règles de routage domestique (priorité GIM sur les transactions intrarégionales) ;</w:t>
      </w:r>
    </w:p>
    <w:p w14:paraId="58E23252"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exigences relatives aux terminaux (certification, homologation, TMS) ;</w:t>
      </w:r>
    </w:p>
    <w:p w14:paraId="7F498B08"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 xml:space="preserve">Les interactions avec les </w:t>
      </w:r>
      <w:proofErr w:type="spellStart"/>
      <w:r w:rsidRPr="00CF6D97">
        <w:rPr>
          <w:rFonts w:ascii="Arial Narrow Regular" w:eastAsia="Arial" w:hAnsi="Arial Narrow Regular" w:cs="Arial Narrow Regular"/>
          <w:iCs/>
          <w:color w:val="1A1A1A"/>
          <w:sz w:val="24"/>
          <w:szCs w:val="24"/>
        </w:rPr>
        <w:t>wallets</w:t>
      </w:r>
      <w:proofErr w:type="spellEnd"/>
      <w:r w:rsidRPr="00CF6D97">
        <w:rPr>
          <w:rFonts w:ascii="Arial Narrow Regular" w:eastAsia="Arial" w:hAnsi="Arial Narrow Regular" w:cs="Arial Narrow Regular"/>
          <w:iCs/>
          <w:color w:val="1A1A1A"/>
          <w:sz w:val="24"/>
          <w:szCs w:val="24"/>
        </w:rPr>
        <w:t xml:space="preserve"> et le mobile money ;</w:t>
      </w:r>
    </w:p>
    <w:p w14:paraId="5C7CB023"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cas d'usage QR code (statique, dynamique, sectoriel) ;</w:t>
      </w:r>
    </w:p>
    <w:p w14:paraId="2D63FF8C"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 xml:space="preserve">L'intégration avec </w:t>
      </w:r>
      <w:proofErr w:type="spellStart"/>
      <w:r w:rsidRPr="00CF6D97">
        <w:rPr>
          <w:rFonts w:ascii="Arial Narrow Regular" w:eastAsia="Arial" w:hAnsi="Arial Narrow Regular" w:cs="Arial Narrow Regular"/>
          <w:iCs/>
          <w:color w:val="1A1A1A"/>
          <w:sz w:val="24"/>
          <w:szCs w:val="24"/>
        </w:rPr>
        <w:t>GIMpay</w:t>
      </w:r>
      <w:proofErr w:type="spellEnd"/>
      <w:r w:rsidRPr="00CF6D97">
        <w:rPr>
          <w:rFonts w:ascii="Arial Narrow Regular" w:eastAsia="Arial" w:hAnsi="Arial Narrow Regular" w:cs="Arial Narrow Regular"/>
          <w:iCs/>
          <w:color w:val="1A1A1A"/>
          <w:sz w:val="24"/>
          <w:szCs w:val="24"/>
        </w:rPr>
        <w:t xml:space="preserve"> comme infrastructure proposant les interfaces Consumer et Marchand ;</w:t>
      </w:r>
    </w:p>
    <w:p w14:paraId="00829216" w14:textId="77777777" w:rsidR="00AF484A" w:rsidRPr="00CF6D97" w:rsidRDefault="00281350">
      <w:pPr>
        <w:pStyle w:val="Paragraphedeliste"/>
        <w:numPr>
          <w:ilvl w:val="0"/>
          <w:numId w:val="12"/>
        </w:numPr>
        <w:spacing w:before="40" w:after="60"/>
        <w:rPr>
          <w:rFonts w:ascii="Arial Narrow Regular" w:hAnsi="Arial Narrow Regular" w:cs="Arial Narrow Regular"/>
          <w:iCs/>
          <w:sz w:val="24"/>
          <w:szCs w:val="24"/>
        </w:rPr>
      </w:pPr>
      <w:r w:rsidRPr="00CF6D97">
        <w:rPr>
          <w:rFonts w:ascii="Arial Narrow Regular" w:eastAsia="Arial" w:hAnsi="Arial Narrow Regular" w:cs="Arial Narrow Regular"/>
          <w:iCs/>
          <w:color w:val="1A1A1A"/>
          <w:sz w:val="24"/>
          <w:szCs w:val="24"/>
        </w:rPr>
        <w:t>Les interfaces avec la couche de référentiel d'identité et de profils transactionnels (Couche 2).</w:t>
      </w:r>
    </w:p>
    <w:p w14:paraId="436621AD" w14:textId="77777777" w:rsidR="00AF484A" w:rsidRPr="00CF6D97" w:rsidRDefault="00AF484A">
      <w:pPr>
        <w:spacing w:after="100"/>
      </w:pPr>
    </w:p>
    <w:p w14:paraId="59EB39EC" w14:textId="77777777" w:rsidR="00AF484A" w:rsidRPr="00CF6D97" w:rsidRDefault="00281350">
      <w:pPr>
        <w:spacing w:before="160" w:after="80"/>
        <w:rPr>
          <w:rFonts w:ascii="Arial Narrow Regular" w:hAnsi="Arial Narrow Regular" w:cs="Arial Narrow Regular"/>
          <w:sz w:val="24"/>
          <w:szCs w:val="24"/>
        </w:rPr>
      </w:pPr>
      <w:r w:rsidRPr="00CF6D97">
        <w:rPr>
          <w:rFonts w:ascii="Arial Narrow Regular" w:eastAsia="Arial" w:hAnsi="Arial Narrow Regular" w:cs="Arial Narrow Regular"/>
          <w:bCs/>
          <w:color w:val="C8972B"/>
          <w:sz w:val="24"/>
          <w:szCs w:val="24"/>
        </w:rPr>
        <w:t>Couche 2 — Référentiel d'Identité et de Profils Transactionnels (RIPT) : la surcouche souveraine du schéma</w:t>
      </w:r>
    </w:p>
    <w:p w14:paraId="571492F9" w14:textId="77777777" w:rsidR="00AF484A" w:rsidRPr="00CF6D97" w:rsidRDefault="00281350">
      <w:pPr>
        <w:spacing w:before="60" w:after="100"/>
        <w:jc w:val="both"/>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En surcouche du socle CPACE, le GIM-UEMOA développera un Référentiel d'Identité et de Profils Transactionnels (RIPT) constituant la pièce maîtresse de l'architecture agnostique du schéma régional. Ce référentiel est un composant propriétaire du GIM-UEMOA, conçu sur mesure pour les besoins de la zone UEMOA.</w:t>
      </w:r>
    </w:p>
    <w:p w14:paraId="403C2BDC" w14:textId="77777777" w:rsidR="00AF484A" w:rsidRPr="00CF6D97" w:rsidRDefault="00281350">
      <w:pPr>
        <w:spacing w:before="60" w:after="100"/>
        <w:jc w:val="both"/>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 xml:space="preserve">Le RIPT introduit le concept d'alias de paiement : un identifiant unique, simple et mémorisable, attribué à chaque titulaire et </w:t>
      </w:r>
      <w:proofErr w:type="spellStart"/>
      <w:r w:rsidRPr="00CF6D97">
        <w:rPr>
          <w:rFonts w:ascii="Arial Narrow Regular" w:eastAsia="Arial" w:hAnsi="Arial Narrow Regular" w:cs="Arial Narrow Regular"/>
          <w:color w:val="1A1A1A"/>
          <w:sz w:val="24"/>
          <w:szCs w:val="24"/>
        </w:rPr>
        <w:t>résolvable</w:t>
      </w:r>
      <w:proofErr w:type="spellEnd"/>
      <w:r w:rsidRPr="00CF6D97">
        <w:rPr>
          <w:rFonts w:ascii="Arial Narrow Regular" w:eastAsia="Arial" w:hAnsi="Arial Narrow Regular" w:cs="Arial Narrow Regular"/>
          <w:color w:val="1A1A1A"/>
          <w:sz w:val="24"/>
          <w:szCs w:val="24"/>
        </w:rPr>
        <w:t xml:space="preserve"> en temps réel vers l'un ou plusieurs instruments de paiement actifs associés à son profil. Cet alias constitue </w:t>
      </w:r>
      <w:r w:rsidRPr="00CF6D97">
        <w:rPr>
          <w:rFonts w:ascii="Arial Narrow Regular" w:eastAsia="Arial" w:hAnsi="Arial Narrow Regular" w:cs="Arial Narrow Regular"/>
          <w:color w:val="1A1A1A"/>
          <w:sz w:val="24"/>
          <w:szCs w:val="24"/>
        </w:rPr>
        <w:lastRenderedPageBreak/>
        <w:t>l'identité de paiement du titulaire au sein du schéma GIM-UEMOA, indépendamment de l'instrument physique ou numérique utilisé pour la transaction.</w:t>
      </w:r>
    </w:p>
    <w:p w14:paraId="1F2B5ACA" w14:textId="77777777" w:rsidR="00AF484A" w:rsidRPr="00CF6D97" w:rsidRDefault="00AF484A">
      <w:pPr>
        <w:spacing w:after="80"/>
      </w:pPr>
    </w:p>
    <w:p w14:paraId="2F802504" w14:textId="77777777" w:rsidR="00AF484A" w:rsidRPr="00CF6D97" w:rsidRDefault="00281350">
      <w:pPr>
        <w:spacing w:before="60" w:after="100"/>
        <w:jc w:val="both"/>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Le RIPT assure les fonctions suivantes :</w:t>
      </w:r>
    </w:p>
    <w:p w14:paraId="3DAF839F"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Enregistrement et gestion des alias de paiement : création, modification, suspension, révocation ;</w:t>
      </w:r>
    </w:p>
    <w:p w14:paraId="03E7BB3D"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 xml:space="preserve">Association dynamique de l'alias à un profil transactionnel multi-instruments regroupant l'ensemble des instruments de paiement actifs du titulaire (PAN/PAN virtuel, IBAN, compte mobile money, </w:t>
      </w:r>
      <w:proofErr w:type="spellStart"/>
      <w:r w:rsidRPr="00CF6D97">
        <w:rPr>
          <w:rFonts w:ascii="Arial Narrow Regular" w:eastAsia="Arial" w:hAnsi="Arial Narrow Regular" w:cs="Arial Narrow Regular"/>
          <w:color w:val="1A1A1A"/>
          <w:sz w:val="24"/>
          <w:szCs w:val="24"/>
        </w:rPr>
        <w:t>wallet</w:t>
      </w:r>
      <w:proofErr w:type="spellEnd"/>
      <w:r w:rsidRPr="00CF6D97">
        <w:rPr>
          <w:rFonts w:ascii="Arial Narrow Regular" w:eastAsia="Arial" w:hAnsi="Arial Narrow Regular" w:cs="Arial Narrow Regular"/>
          <w:color w:val="1A1A1A"/>
          <w:sz w:val="24"/>
          <w:szCs w:val="24"/>
        </w:rPr>
        <w:t xml:space="preserve">, carte virtuelle, </w:t>
      </w:r>
      <w:proofErr w:type="spellStart"/>
      <w:r w:rsidRPr="00CF6D97">
        <w:rPr>
          <w:rFonts w:ascii="Arial Narrow Regular" w:eastAsia="Arial" w:hAnsi="Arial Narrow Regular" w:cs="Arial Narrow Regular"/>
          <w:color w:val="1A1A1A"/>
          <w:sz w:val="24"/>
          <w:szCs w:val="24"/>
        </w:rPr>
        <w:t>token</w:t>
      </w:r>
      <w:proofErr w:type="spellEnd"/>
      <w:r w:rsidRPr="00CF6D97">
        <w:rPr>
          <w:rFonts w:ascii="Arial Narrow Regular" w:eastAsia="Arial" w:hAnsi="Arial Narrow Regular" w:cs="Arial Narrow Regular"/>
          <w:color w:val="1A1A1A"/>
          <w:sz w:val="24"/>
          <w:szCs w:val="24"/>
        </w:rPr>
        <w:t>) ;</w:t>
      </w:r>
    </w:p>
    <w:p w14:paraId="56CECF78"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Résolution de l'alias en temps réel : sélection de l'instrument optimal selon les règles du profil transactionnel, le contexte de la transaction (canal, montant, disponibilité, préférence du titulaire) et les règles de routage du schéma ;</w:t>
      </w:r>
    </w:p>
    <w:p w14:paraId="02DC1E50"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Encapsulation de l'alias dans un QR code universel, utilisable en mode présentiel et à distance, compatible avec les cas d'usage multi-verticales ;</w:t>
      </w:r>
    </w:p>
    <w:p w14:paraId="3C882369"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Gestion des préférences transactionnelles du titulaire : instrument par défaut, instruments de secours, plafonds, restrictions géographiques ;</w:t>
      </w:r>
    </w:p>
    <w:p w14:paraId="4E678101"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Activation et désactivation sélective des instruments au sein d'un profil, sous le contrôle du schéma et de l'émetteur ;</w:t>
      </w:r>
    </w:p>
    <w:p w14:paraId="1461034F"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 xml:space="preserve">Interface avec </w:t>
      </w:r>
      <w:proofErr w:type="spellStart"/>
      <w:r w:rsidRPr="00CF6D97">
        <w:rPr>
          <w:rFonts w:ascii="Arial Narrow Regular" w:eastAsia="Arial" w:hAnsi="Arial Narrow Regular" w:cs="Arial Narrow Regular"/>
          <w:color w:val="1A1A1A"/>
          <w:sz w:val="24"/>
          <w:szCs w:val="24"/>
        </w:rPr>
        <w:t>GIMpay</w:t>
      </w:r>
      <w:proofErr w:type="spellEnd"/>
      <w:r w:rsidRPr="00CF6D97">
        <w:rPr>
          <w:rFonts w:ascii="Arial Narrow Regular" w:eastAsia="Arial" w:hAnsi="Arial Narrow Regular" w:cs="Arial Narrow Regular"/>
          <w:color w:val="1A1A1A"/>
          <w:sz w:val="24"/>
          <w:szCs w:val="24"/>
        </w:rPr>
        <w:t xml:space="preserve"> pour l'exposition de l'alias et du profil transactionnel à l'utilisateur final ;</w:t>
      </w:r>
    </w:p>
    <w:p w14:paraId="645F7F56" w14:textId="77777777" w:rsidR="00AF484A" w:rsidRPr="00CF6D97" w:rsidRDefault="00281350">
      <w:pPr>
        <w:pStyle w:val="Paragraphedeliste"/>
        <w:numPr>
          <w:ilvl w:val="0"/>
          <w:numId w:val="12"/>
        </w:numPr>
        <w:spacing w:before="40" w:after="60"/>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Traçabilité complète des résolutions d'alias et des sélections d'instrument, pour les besoins de réconciliation, d'analyse de fraude et de gouvernance des données.</w:t>
      </w:r>
    </w:p>
    <w:p w14:paraId="4027EEBF" w14:textId="77777777" w:rsidR="00AF484A" w:rsidRPr="00CF6D97" w:rsidRDefault="00AF484A">
      <w:pPr>
        <w:spacing w:after="80"/>
        <w:rPr>
          <w:rFonts w:ascii="Arial Narrow Regular" w:hAnsi="Arial Narrow Regular" w:cs="Arial Narrow Regular"/>
          <w:sz w:val="24"/>
          <w:szCs w:val="24"/>
        </w:rPr>
      </w:pPr>
    </w:p>
    <w:p w14:paraId="47ED7F83" w14:textId="77777777" w:rsidR="00AF484A" w:rsidRPr="00CF6D97" w:rsidRDefault="00281350">
      <w:pPr>
        <w:spacing w:before="60" w:after="100"/>
        <w:jc w:val="both"/>
        <w:rPr>
          <w:rFonts w:ascii="Arial Narrow Regular" w:hAnsi="Arial Narrow Regular" w:cs="Arial Narrow Regular"/>
          <w:sz w:val="24"/>
          <w:szCs w:val="24"/>
        </w:rPr>
      </w:pPr>
      <w:r w:rsidRPr="00CF6D97">
        <w:rPr>
          <w:rFonts w:ascii="Arial Narrow Regular" w:eastAsia="Arial" w:hAnsi="Arial Narrow Regular" w:cs="Arial Narrow Regular"/>
          <w:color w:val="1A1A1A"/>
          <w:sz w:val="24"/>
          <w:szCs w:val="24"/>
        </w:rPr>
        <w:t>Les composants de l'alias et du profil transactionnel pouvant être reliés comprennent notamment :</w:t>
      </w:r>
    </w:p>
    <w:p w14:paraId="7B1946A0" w14:textId="77777777" w:rsidR="00AF484A" w:rsidRPr="00CF6D97" w:rsidRDefault="00AF484A">
      <w:pPr>
        <w:spacing w:after="60"/>
        <w:rPr>
          <w:rFonts w:ascii="Arial Narrow Regular" w:hAnsi="Arial Narrow Regular" w:cs="Arial Narrow Regular"/>
          <w:sz w:val="24"/>
          <w:szCs w:val="24"/>
        </w:rPr>
      </w:pPr>
    </w:p>
    <w:tbl>
      <w:tblPr>
        <w:tblW w:w="1067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62"/>
        <w:gridCol w:w="7611"/>
      </w:tblGrid>
      <w:tr w:rsidR="00AF484A" w:rsidRPr="00CF6D97" w14:paraId="5D74F78F" w14:textId="77777777">
        <w:tc>
          <w:tcPr>
            <w:tcW w:w="3062"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6EBC2210"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FFFFFF"/>
                <w:sz w:val="24"/>
                <w:szCs w:val="24"/>
              </w:rPr>
              <w:t>Composant</w:t>
            </w:r>
          </w:p>
        </w:tc>
        <w:tc>
          <w:tcPr>
            <w:tcW w:w="7611"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1874AAD0"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FFFFFF"/>
                <w:sz w:val="24"/>
                <w:szCs w:val="24"/>
              </w:rPr>
              <w:t>Nature</w:t>
            </w:r>
          </w:p>
        </w:tc>
      </w:tr>
      <w:tr w:rsidR="00AF484A" w:rsidRPr="00CF6D97" w14:paraId="3EF709F0"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66C31016"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Alias de paiement</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11B06D4"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 xml:space="preserve">Identifiant unique attribué par le schéma GIM-UEMOA, </w:t>
            </w:r>
            <w:proofErr w:type="spellStart"/>
            <w:r w:rsidRPr="00CF6D97">
              <w:rPr>
                <w:rFonts w:ascii="Arial Narrow" w:eastAsia="Arial" w:hAnsi="Arial Narrow" w:cs="Arial Narrow"/>
                <w:color w:val="1A1A1A"/>
                <w:sz w:val="24"/>
                <w:szCs w:val="24"/>
              </w:rPr>
              <w:t>résolvable</w:t>
            </w:r>
            <w:proofErr w:type="spellEnd"/>
            <w:r w:rsidRPr="00CF6D97">
              <w:rPr>
                <w:rFonts w:ascii="Arial Narrow" w:eastAsia="Arial" w:hAnsi="Arial Narrow" w:cs="Arial Narrow"/>
                <w:color w:val="1A1A1A"/>
                <w:sz w:val="24"/>
                <w:szCs w:val="24"/>
              </w:rPr>
              <w:t xml:space="preserve"> vers le profil transactionnel du titulaire</w:t>
            </w:r>
          </w:p>
        </w:tc>
      </w:tr>
      <w:tr w:rsidR="00AF484A" w:rsidRPr="00CF6D97" w14:paraId="4C4DF7F2"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43A5CE79"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PAN / PAN virtuel</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5FCE1DD"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Identifiant carte physique ou dématérialisée</w:t>
            </w:r>
          </w:p>
        </w:tc>
      </w:tr>
      <w:tr w:rsidR="00AF484A" w:rsidRPr="00CF6D97" w14:paraId="593A2B1C"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3AB17C95"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BIN</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0D71E98"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Plage d'identification de l'émetteur</w:t>
            </w:r>
          </w:p>
        </w:tc>
      </w:tr>
      <w:tr w:rsidR="00AF484A" w:rsidRPr="00CF6D97" w14:paraId="03870B67"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09706DCE"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IBAN</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0A955C2"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Identifiant de compte bancaire</w:t>
            </w:r>
          </w:p>
        </w:tc>
      </w:tr>
      <w:tr w:rsidR="00AF484A" w:rsidRPr="00CF6D97" w14:paraId="3BD2EFAF"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4BCA712B"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Wallet</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051C4EF"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Identifiant de portefeuille électronique</w:t>
            </w:r>
          </w:p>
        </w:tc>
      </w:tr>
      <w:tr w:rsidR="00AF484A" w:rsidRPr="00CF6D97" w14:paraId="6857924C"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5CB37E14"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Compte Mobile Money</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18068AC"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Identifiant opérateur mobile</w:t>
            </w:r>
          </w:p>
        </w:tc>
      </w:tr>
      <w:tr w:rsidR="00AF484A" w:rsidRPr="00CF6D97" w14:paraId="429E163D"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3B27C60F"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 xml:space="preserve">Carte virtuelle / </w:t>
            </w:r>
            <w:proofErr w:type="spellStart"/>
            <w:r w:rsidRPr="00CF6D97">
              <w:rPr>
                <w:rFonts w:ascii="Arial Narrow" w:eastAsia="Arial" w:hAnsi="Arial Narrow" w:cs="Arial Narrow"/>
                <w:color w:val="1A1A1A"/>
                <w:sz w:val="24"/>
                <w:szCs w:val="24"/>
              </w:rPr>
              <w:t>Token</w:t>
            </w:r>
            <w:proofErr w:type="spellEnd"/>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FBA7C41" w14:textId="77777777" w:rsidR="00AF484A" w:rsidRPr="00CF6D97" w:rsidRDefault="00281350">
            <w:pPr>
              <w:spacing w:before="60" w:after="60"/>
              <w:rPr>
                <w:rFonts w:ascii="Arial Narrow" w:hAnsi="Arial Narrow" w:cs="Arial Narrow"/>
                <w:sz w:val="24"/>
                <w:szCs w:val="24"/>
              </w:rPr>
            </w:pPr>
            <w:proofErr w:type="spellStart"/>
            <w:r w:rsidRPr="00CF6D97">
              <w:rPr>
                <w:rFonts w:ascii="Arial Narrow" w:eastAsia="Arial" w:hAnsi="Arial Narrow" w:cs="Arial Narrow"/>
                <w:color w:val="1A1A1A"/>
                <w:sz w:val="24"/>
                <w:szCs w:val="24"/>
              </w:rPr>
              <w:t>Token</w:t>
            </w:r>
            <w:proofErr w:type="spellEnd"/>
            <w:r w:rsidRPr="00CF6D97">
              <w:rPr>
                <w:rFonts w:ascii="Arial Narrow" w:eastAsia="Arial" w:hAnsi="Arial Narrow" w:cs="Arial Narrow"/>
                <w:color w:val="1A1A1A"/>
                <w:sz w:val="24"/>
                <w:szCs w:val="24"/>
              </w:rPr>
              <w:t xml:space="preserve"> </w:t>
            </w:r>
            <w:proofErr w:type="spellStart"/>
            <w:r w:rsidRPr="00CF6D97">
              <w:rPr>
                <w:rFonts w:ascii="Arial Narrow" w:eastAsia="Arial" w:hAnsi="Arial Narrow" w:cs="Arial Narrow"/>
                <w:color w:val="1A1A1A"/>
                <w:sz w:val="24"/>
                <w:szCs w:val="24"/>
              </w:rPr>
              <w:t>EMVCo</w:t>
            </w:r>
            <w:proofErr w:type="spellEnd"/>
            <w:r w:rsidRPr="00CF6D97">
              <w:rPr>
                <w:rFonts w:ascii="Arial Narrow" w:eastAsia="Arial" w:hAnsi="Arial Narrow" w:cs="Arial Narrow"/>
                <w:color w:val="1A1A1A"/>
                <w:sz w:val="24"/>
                <w:szCs w:val="24"/>
              </w:rPr>
              <w:t xml:space="preserve"> ou </w:t>
            </w:r>
            <w:proofErr w:type="spellStart"/>
            <w:r w:rsidRPr="00CF6D97">
              <w:rPr>
                <w:rFonts w:ascii="Arial Narrow" w:eastAsia="Arial" w:hAnsi="Arial Narrow" w:cs="Arial Narrow"/>
                <w:color w:val="1A1A1A"/>
                <w:sz w:val="24"/>
                <w:szCs w:val="24"/>
              </w:rPr>
              <w:t>token</w:t>
            </w:r>
            <w:proofErr w:type="spellEnd"/>
            <w:r w:rsidRPr="00CF6D97">
              <w:rPr>
                <w:rFonts w:ascii="Arial Narrow" w:eastAsia="Arial" w:hAnsi="Arial Narrow" w:cs="Arial Narrow"/>
                <w:color w:val="1A1A1A"/>
                <w:sz w:val="24"/>
                <w:szCs w:val="24"/>
              </w:rPr>
              <w:t xml:space="preserve"> propriétaire du schéma GIM-UEMOA</w:t>
            </w:r>
          </w:p>
        </w:tc>
      </w:tr>
      <w:tr w:rsidR="00AF484A" w:rsidRPr="00CF6D97" w14:paraId="6752629F"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0B94800C"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lastRenderedPageBreak/>
              <w:t>Éléments KYC</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5B95F6E"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Données d'identité vérifiées du titulaire, liées au profil sans être exposées dans la transaction</w:t>
            </w:r>
          </w:p>
        </w:tc>
      </w:tr>
      <w:tr w:rsidR="00AF484A" w:rsidRPr="00CF6D97" w14:paraId="44D3057B"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37998D5F"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QR Code d'alias</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47FCD2F"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Représentation encapsulée de l'alias pour les usages client et marchand, multi-verticales</w:t>
            </w:r>
          </w:p>
        </w:tc>
      </w:tr>
      <w:tr w:rsidR="00AF484A" w:rsidRPr="00CF6D97" w14:paraId="2F966CB5" w14:textId="77777777">
        <w:tc>
          <w:tcPr>
            <w:tcW w:w="3062" w:type="dxa"/>
            <w:tcBorders>
              <w:top w:val="single" w:sz="0" w:space="0" w:color="CCCCCC"/>
              <w:left w:val="single" w:sz="0" w:space="0" w:color="CCCCCC"/>
              <w:bottom w:val="single" w:sz="0" w:space="0" w:color="CCCCCC"/>
              <w:right w:val="single" w:sz="0" w:space="0" w:color="CCCCCC"/>
            </w:tcBorders>
            <w:shd w:val="clear" w:color="auto" w:fill="F2F2F2"/>
            <w:tcMar>
              <w:top w:w="80" w:type="dxa"/>
              <w:left w:w="120" w:type="dxa"/>
              <w:bottom w:w="80" w:type="dxa"/>
              <w:right w:w="120" w:type="dxa"/>
            </w:tcMar>
            <w:vAlign w:val="center"/>
          </w:tcPr>
          <w:p w14:paraId="1150CDCC"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Règles de routage</w:t>
            </w:r>
          </w:p>
        </w:tc>
        <w:tc>
          <w:tcPr>
            <w:tcW w:w="761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D09EBEA" w14:textId="77777777" w:rsidR="00AF484A" w:rsidRPr="00CF6D97" w:rsidRDefault="00281350">
            <w:pPr>
              <w:spacing w:before="60" w:after="60"/>
              <w:rPr>
                <w:rFonts w:ascii="Arial Narrow" w:hAnsi="Arial Narrow" w:cs="Arial Narrow"/>
                <w:sz w:val="24"/>
                <w:szCs w:val="24"/>
              </w:rPr>
            </w:pPr>
            <w:r w:rsidRPr="00CF6D97">
              <w:rPr>
                <w:rFonts w:ascii="Arial Narrow" w:eastAsia="Arial" w:hAnsi="Arial Narrow" w:cs="Arial Narrow"/>
                <w:color w:val="1A1A1A"/>
                <w:sz w:val="24"/>
                <w:szCs w:val="24"/>
              </w:rPr>
              <w:t>Préférences et contraintes de routage associées à l'alias et aux instruments du profil</w:t>
            </w:r>
          </w:p>
        </w:tc>
      </w:tr>
    </w:tbl>
    <w:p w14:paraId="41E3DAC0" w14:textId="77777777" w:rsidR="00AF484A" w:rsidRPr="00CF6D97" w:rsidRDefault="00AF484A">
      <w:pPr>
        <w:spacing w:after="100"/>
      </w:pPr>
    </w:p>
    <w:tbl>
      <w:tblPr>
        <w:tblW w:w="1071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16"/>
      </w:tblGrid>
      <w:tr w:rsidR="00AF484A" w:rsidRPr="00CF6D97" w14:paraId="09D00059" w14:textId="77777777">
        <w:tc>
          <w:tcPr>
            <w:tcW w:w="10716" w:type="dxa"/>
            <w:tcBorders>
              <w:top w:val="single" w:sz="0" w:space="0" w:color="C8972B"/>
              <w:left w:val="single" w:sz="0" w:space="0" w:color="C8972B"/>
              <w:bottom w:val="single" w:sz="0" w:space="0" w:color="C8972B"/>
              <w:right w:val="single" w:sz="0" w:space="0" w:color="C8972B"/>
            </w:tcBorders>
            <w:shd w:val="clear" w:color="auto" w:fill="FDF3DC"/>
            <w:tcMar>
              <w:top w:w="100" w:type="dxa"/>
              <w:left w:w="180" w:type="dxa"/>
              <w:bottom w:w="100" w:type="dxa"/>
              <w:right w:w="180" w:type="dxa"/>
            </w:tcMar>
          </w:tcPr>
          <w:p w14:paraId="41294109" w14:textId="77777777" w:rsidR="00AF484A" w:rsidRPr="00CF6D97" w:rsidRDefault="00281350">
            <w:pPr>
              <w:spacing w:before="60" w:after="30"/>
              <w:rPr>
                <w:rFonts w:ascii="Arial Narrow Bold" w:hAnsi="Arial Narrow Bold" w:cs="Arial Narrow Bold"/>
                <w:b/>
                <w:sz w:val="24"/>
                <w:szCs w:val="24"/>
              </w:rPr>
            </w:pPr>
            <w:r w:rsidRPr="00CF6D97">
              <w:rPr>
                <w:rFonts w:ascii="Arial Narrow Bold" w:eastAsia="Arial" w:hAnsi="Arial Narrow Bold" w:cs="Arial Narrow Bold"/>
                <w:b/>
                <w:bCs/>
                <w:color w:val="003087"/>
                <w:sz w:val="24"/>
                <w:szCs w:val="24"/>
              </w:rPr>
              <w:t>Jalon de conception obligatoire</w:t>
            </w:r>
          </w:p>
          <w:p w14:paraId="54E92584" w14:textId="77777777" w:rsidR="00AF484A" w:rsidRPr="00CF6D97" w:rsidRDefault="00281350">
            <w:pPr>
              <w:spacing w:after="60"/>
              <w:rPr>
                <w:rFonts w:ascii="Arial Narrow Bold" w:hAnsi="Arial Narrow Bold" w:cs="Arial Narrow Bold"/>
                <w:b/>
                <w:sz w:val="24"/>
                <w:szCs w:val="24"/>
              </w:rPr>
            </w:pPr>
            <w:r w:rsidRPr="00CF6D97">
              <w:rPr>
                <w:rFonts w:ascii="Arial Narrow" w:eastAsia="Arial" w:hAnsi="Arial Narrow" w:cs="Arial Narrow"/>
                <w:bCs/>
                <w:iCs/>
                <w:color w:val="1A1A1A"/>
                <w:sz w:val="24"/>
                <w:szCs w:val="24"/>
              </w:rPr>
              <w:t>Le consultant devra, à l'issue de la Phase 1, présenter une architecture détaillée du RIPT incluant le modèle de données, le protocole de résolution d'alias, les interfaces avec le socle CPACE et avec les autres composants du schéma, pour validation formelle par le GIM-UEMOA avant le démarrage des spécifications de la Couche 2.</w:t>
            </w:r>
          </w:p>
        </w:tc>
      </w:tr>
    </w:tbl>
    <w:p w14:paraId="6A44D743" w14:textId="77777777" w:rsidR="00AF484A" w:rsidRPr="00CF6D97" w:rsidRDefault="00AF484A">
      <w:pPr>
        <w:spacing w:after="120"/>
      </w:pPr>
    </w:p>
    <w:p w14:paraId="6355F03A" w14:textId="77777777" w:rsidR="00AF484A" w:rsidRPr="00CF6D97" w:rsidRDefault="00281350">
      <w:pPr>
        <w:ind w:left="360"/>
        <w:jc w:val="both"/>
        <w:rPr>
          <w:rFonts w:ascii="Arial Narrow" w:hAnsi="Arial Narrow" w:cs="Arial"/>
          <w:b/>
          <w:bCs/>
          <w:sz w:val="24"/>
          <w:szCs w:val="24"/>
        </w:rPr>
      </w:pPr>
      <w:r w:rsidRPr="00CF6D97">
        <w:rPr>
          <w:rFonts w:ascii="Arial Narrow" w:hAnsi="Arial Narrow" w:cs="Arial"/>
          <w:b/>
          <w:bCs/>
          <w:sz w:val="24"/>
          <w:szCs w:val="24"/>
        </w:rPr>
        <w:t>3.1.3 Accompagnement à l'adhésion à l'ECPC</w:t>
      </w:r>
    </w:p>
    <w:p w14:paraId="5A8D8344" w14:textId="77777777" w:rsidR="00AF484A" w:rsidRPr="00CF6D97" w:rsidRDefault="00281350">
      <w:pPr>
        <w:spacing w:before="60" w:after="100"/>
        <w:jc w:val="both"/>
        <w:rPr>
          <w:rFonts w:ascii="Arial Narrow" w:hAnsi="Arial Narrow" w:cs="Arial Narrow"/>
          <w:sz w:val="24"/>
          <w:szCs w:val="24"/>
        </w:rPr>
      </w:pPr>
      <w:r w:rsidRPr="00CF6D97">
        <w:rPr>
          <w:rFonts w:ascii="Arial Narrow" w:eastAsia="Arial" w:hAnsi="Arial Narrow" w:cs="Arial Narrow"/>
          <w:color w:val="1A1A1A"/>
          <w:sz w:val="24"/>
          <w:szCs w:val="24"/>
        </w:rPr>
        <w:t>Parallèlement aux travaux de spécification du socle CPACE, le consultant accompagnera le GIM-UEMOA dans sa démarche d'adhésion à l'ECPC (</w:t>
      </w:r>
      <w:proofErr w:type="spellStart"/>
      <w:r w:rsidRPr="00CF6D97">
        <w:rPr>
          <w:rFonts w:ascii="Arial Narrow" w:eastAsia="Arial" w:hAnsi="Arial Narrow" w:cs="Arial Narrow"/>
          <w:color w:val="1A1A1A"/>
          <w:sz w:val="24"/>
          <w:szCs w:val="24"/>
        </w:rPr>
        <w:t>European</w:t>
      </w:r>
      <w:proofErr w:type="spellEnd"/>
      <w:r w:rsidRPr="00CF6D97">
        <w:rPr>
          <w:rFonts w:ascii="Arial Narrow" w:eastAsia="Arial" w:hAnsi="Arial Narrow" w:cs="Arial Narrow"/>
          <w:color w:val="1A1A1A"/>
          <w:sz w:val="24"/>
          <w:szCs w:val="24"/>
        </w:rPr>
        <w:t xml:space="preserve"> Card Payment </w:t>
      </w:r>
      <w:proofErr w:type="spellStart"/>
      <w:r w:rsidRPr="00CF6D97">
        <w:rPr>
          <w:rFonts w:ascii="Arial Narrow" w:eastAsia="Arial" w:hAnsi="Arial Narrow" w:cs="Arial Narrow"/>
          <w:color w:val="1A1A1A"/>
          <w:sz w:val="24"/>
          <w:szCs w:val="24"/>
        </w:rPr>
        <w:t>Cooperation</w:t>
      </w:r>
      <w:proofErr w:type="spellEnd"/>
      <w:r w:rsidRPr="00CF6D97">
        <w:rPr>
          <w:rFonts w:ascii="Arial Narrow" w:eastAsia="Arial" w:hAnsi="Arial Narrow" w:cs="Arial Narrow"/>
          <w:color w:val="1A1A1A"/>
          <w:sz w:val="24"/>
          <w:szCs w:val="24"/>
        </w:rPr>
        <w:t>) en tant que membre coopératif. Cet accompagnement constitue une prestation à part entière de la mission, conditionnant la pleine réalisation des bénéfices attendus de l'adoption du standard CPACE.</w:t>
      </w:r>
    </w:p>
    <w:p w14:paraId="3118D667" w14:textId="77777777" w:rsidR="00AF484A" w:rsidRPr="00CF6D97" w:rsidRDefault="00AF484A">
      <w:pPr>
        <w:spacing w:after="80"/>
        <w:rPr>
          <w:rFonts w:ascii="Arial Narrow" w:hAnsi="Arial Narrow" w:cs="Arial Narrow"/>
          <w:sz w:val="24"/>
          <w:szCs w:val="24"/>
        </w:rPr>
      </w:pPr>
    </w:p>
    <w:p w14:paraId="69FBFE0E" w14:textId="5011D468" w:rsidR="00AF484A" w:rsidRPr="00CF6D97" w:rsidRDefault="00281350">
      <w:pPr>
        <w:spacing w:before="60" w:after="100"/>
        <w:jc w:val="both"/>
        <w:rPr>
          <w:rFonts w:ascii="Arial Narrow" w:hAnsi="Arial Narrow" w:cs="Arial Narrow"/>
          <w:sz w:val="24"/>
          <w:szCs w:val="24"/>
        </w:rPr>
      </w:pPr>
      <w:r w:rsidRPr="00CF6D97">
        <w:rPr>
          <w:rFonts w:ascii="Arial Narrow" w:eastAsia="Arial" w:hAnsi="Arial Narrow" w:cs="Arial Narrow"/>
          <w:color w:val="1A1A1A"/>
          <w:sz w:val="24"/>
          <w:szCs w:val="24"/>
        </w:rPr>
        <w:t xml:space="preserve"> Cette adhésion poursuit trois objectifs </w:t>
      </w:r>
      <w:r w:rsidR="0054223A" w:rsidRPr="00CF6D97">
        <w:rPr>
          <w:rFonts w:ascii="Arial Narrow" w:eastAsia="Arial" w:hAnsi="Arial Narrow" w:cs="Arial Narrow"/>
          <w:color w:val="1A1A1A"/>
          <w:sz w:val="24"/>
          <w:szCs w:val="24"/>
        </w:rPr>
        <w:t>stratégiques :</w:t>
      </w:r>
    </w:p>
    <w:p w14:paraId="6E1BB516"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 xml:space="preserve">Bénéficier de la mutualisation de la roadmap des spécifications CPACE, des évolutions du kernel, du </w:t>
      </w:r>
      <w:proofErr w:type="spellStart"/>
      <w:r w:rsidRPr="00CF6D97">
        <w:rPr>
          <w:rFonts w:ascii="Arial Narrow" w:eastAsia="Arial" w:hAnsi="Arial Narrow" w:cs="Arial Narrow"/>
          <w:color w:val="1A1A1A"/>
          <w:sz w:val="24"/>
          <w:szCs w:val="24"/>
        </w:rPr>
        <w:t>framework</w:t>
      </w:r>
      <w:proofErr w:type="spellEnd"/>
      <w:r w:rsidRPr="00CF6D97">
        <w:rPr>
          <w:rFonts w:ascii="Arial Narrow" w:eastAsia="Arial" w:hAnsi="Arial Narrow" w:cs="Arial Narrow"/>
          <w:color w:val="1A1A1A"/>
          <w:sz w:val="24"/>
          <w:szCs w:val="24"/>
        </w:rPr>
        <w:t xml:space="preserve"> de certification et des outils de test mis à disposition par l'ECPC ;</w:t>
      </w:r>
    </w:p>
    <w:p w14:paraId="6309D277"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 xml:space="preserve">Positionner le GIM-UEMOA comme membre </w:t>
      </w:r>
      <w:proofErr w:type="spellStart"/>
      <w:r w:rsidRPr="00CF6D97">
        <w:rPr>
          <w:rFonts w:ascii="Arial Narrow" w:eastAsia="Arial" w:hAnsi="Arial Narrow" w:cs="Arial Narrow"/>
          <w:color w:val="1A1A1A"/>
          <w:sz w:val="24"/>
          <w:szCs w:val="24"/>
        </w:rPr>
        <w:t>co</w:t>
      </w:r>
      <w:proofErr w:type="spellEnd"/>
      <w:r w:rsidRPr="00CF6D97">
        <w:rPr>
          <w:rFonts w:ascii="Arial Narrow" w:eastAsia="Arial" w:hAnsi="Arial Narrow" w:cs="Arial Narrow"/>
          <w:color w:val="1A1A1A"/>
          <w:sz w:val="24"/>
          <w:szCs w:val="24"/>
        </w:rPr>
        <w:t>-constructeur du standard, lui permettant d'introduire dans la roadmap commune les cas d'usage spécifiques à l'UEMOA (mobile money sur rail carte, profils transactionnels multi-instruments, cas d'usage QR multi-verticales, …) ;</w:t>
      </w:r>
    </w:p>
    <w:p w14:paraId="3BEA3B21"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Accéder en priorité aux kernels CPACE certifiés disponibles dans l'écosystème, réduisant significativement la durée et le coût des phases de développement et de certification.</w:t>
      </w:r>
    </w:p>
    <w:p w14:paraId="289C8B39" w14:textId="77777777" w:rsidR="00AF484A" w:rsidRPr="00CF6D97" w:rsidRDefault="00AF484A">
      <w:pPr>
        <w:spacing w:after="80"/>
        <w:rPr>
          <w:rFonts w:ascii="Arial Narrow" w:hAnsi="Arial Narrow" w:cs="Arial Narrow"/>
          <w:sz w:val="24"/>
          <w:szCs w:val="24"/>
        </w:rPr>
      </w:pPr>
    </w:p>
    <w:p w14:paraId="37653B66" w14:textId="77777777" w:rsidR="00AF484A" w:rsidRPr="00CF6D97" w:rsidRDefault="00281350">
      <w:pPr>
        <w:spacing w:before="60" w:after="100"/>
        <w:jc w:val="both"/>
        <w:rPr>
          <w:rFonts w:ascii="Arial Narrow" w:hAnsi="Arial Narrow" w:cs="Arial Narrow"/>
          <w:sz w:val="24"/>
          <w:szCs w:val="24"/>
        </w:rPr>
      </w:pPr>
      <w:r w:rsidRPr="00CF6D97">
        <w:rPr>
          <w:rFonts w:ascii="Arial Narrow" w:eastAsia="Arial" w:hAnsi="Arial Narrow" w:cs="Arial Narrow"/>
          <w:color w:val="1A1A1A"/>
          <w:sz w:val="24"/>
          <w:szCs w:val="24"/>
        </w:rPr>
        <w:t>Le périmètre de l'accompagnement à l'adhésion ECPC comprend :</w:t>
      </w:r>
    </w:p>
    <w:p w14:paraId="7ECCAA18"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L'analyse du cadre statutaire de l'ECPC et des conditions d'adhésion en tant que membre coopératif hors zone européenne ;</w:t>
      </w:r>
    </w:p>
    <w:p w14:paraId="40B3B19D"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La préparation du dossier d'adhésion et la conduite des négociations avec l'ECPC, en lien avec la Direction Générale du GIM-UEMOA ;</w:t>
      </w:r>
    </w:p>
    <w:p w14:paraId="4D0C4775"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t>La définition de la contribution du GIM-UEMOA aux travaux de standardisation de l'ECPC, notamment les cas d'usage UEMOA à soumettre à la roadmap commune ;</w:t>
      </w:r>
    </w:p>
    <w:p w14:paraId="55AE755C" w14:textId="77777777" w:rsidR="00AF484A" w:rsidRPr="00CF6D97" w:rsidRDefault="00281350">
      <w:pPr>
        <w:pStyle w:val="Paragraphedeliste"/>
        <w:numPr>
          <w:ilvl w:val="0"/>
          <w:numId w:val="12"/>
        </w:numPr>
        <w:spacing w:before="40" w:after="60"/>
        <w:rPr>
          <w:rFonts w:ascii="Arial Narrow" w:hAnsi="Arial Narrow" w:cs="Arial Narrow"/>
          <w:sz w:val="24"/>
          <w:szCs w:val="24"/>
        </w:rPr>
      </w:pPr>
      <w:r w:rsidRPr="00CF6D97">
        <w:rPr>
          <w:rFonts w:ascii="Arial Narrow" w:eastAsia="Arial" w:hAnsi="Arial Narrow" w:cs="Arial Narrow"/>
          <w:color w:val="1A1A1A"/>
          <w:sz w:val="24"/>
          <w:szCs w:val="24"/>
        </w:rPr>
        <w:lastRenderedPageBreak/>
        <w:t>L'identification et la présélection des partenaires techniques certifiés ECPC (laboratoires d'homologation, développeurs de kernels) susceptibles d'intervenir dans les phases ultérieures de déploiement ;</w:t>
      </w:r>
    </w:p>
    <w:p w14:paraId="5DFFC485" w14:textId="77777777" w:rsidR="00AF484A" w:rsidRPr="00CF6D97" w:rsidRDefault="00281350">
      <w:pPr>
        <w:pStyle w:val="Paragraphedeliste"/>
        <w:numPr>
          <w:ilvl w:val="0"/>
          <w:numId w:val="12"/>
        </w:numPr>
        <w:spacing w:before="40" w:after="60"/>
      </w:pPr>
      <w:r w:rsidRPr="00CF6D97">
        <w:rPr>
          <w:rFonts w:ascii="Arial Narrow" w:eastAsia="Arial" w:hAnsi="Arial Narrow" w:cs="Arial Narrow"/>
          <w:color w:val="1A1A1A"/>
          <w:sz w:val="24"/>
          <w:szCs w:val="24"/>
        </w:rPr>
        <w:t xml:space="preserve">L'accompagnement dans la mise en place des interfaces avec le </w:t>
      </w:r>
      <w:proofErr w:type="spellStart"/>
      <w:r w:rsidRPr="00CF6D97">
        <w:rPr>
          <w:rFonts w:ascii="Arial Narrow" w:eastAsia="Arial" w:hAnsi="Arial Narrow" w:cs="Arial Narrow"/>
          <w:color w:val="1A1A1A"/>
          <w:sz w:val="24"/>
          <w:szCs w:val="24"/>
        </w:rPr>
        <w:t>framework</w:t>
      </w:r>
      <w:proofErr w:type="spellEnd"/>
      <w:r w:rsidRPr="00CF6D97">
        <w:rPr>
          <w:rFonts w:ascii="Arial Narrow" w:eastAsia="Arial" w:hAnsi="Arial Narrow" w:cs="Arial Narrow"/>
          <w:color w:val="1A1A1A"/>
          <w:sz w:val="24"/>
          <w:szCs w:val="24"/>
        </w:rPr>
        <w:t xml:space="preserve"> de certification ECPC pour la validation du profil GIM-UEMOA.</w:t>
      </w:r>
    </w:p>
    <w:tbl>
      <w:tblPr>
        <w:tblpPr w:leftFromText="180" w:rightFromText="180" w:vertAnchor="text" w:horzAnchor="page" w:tblpX="765" w:tblpY="359"/>
        <w:tblOverlap w:val="never"/>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32"/>
      </w:tblGrid>
      <w:tr w:rsidR="00AF484A" w:rsidRPr="00CF6D97" w14:paraId="4239005F" w14:textId="77777777">
        <w:tc>
          <w:tcPr>
            <w:tcW w:w="10432" w:type="dxa"/>
            <w:tcBorders>
              <w:top w:val="single" w:sz="0" w:space="0" w:color="C8972B"/>
              <w:left w:val="single" w:sz="0" w:space="0" w:color="C8972B"/>
              <w:bottom w:val="single" w:sz="0" w:space="0" w:color="C8972B"/>
              <w:right w:val="single" w:sz="0" w:space="0" w:color="C8972B"/>
            </w:tcBorders>
            <w:shd w:val="clear" w:color="auto" w:fill="FDF3DC"/>
            <w:tcMar>
              <w:top w:w="100" w:type="dxa"/>
              <w:left w:w="180" w:type="dxa"/>
              <w:bottom w:w="100" w:type="dxa"/>
              <w:right w:w="180" w:type="dxa"/>
            </w:tcMar>
          </w:tcPr>
          <w:p w14:paraId="33744660" w14:textId="77777777" w:rsidR="00AF484A" w:rsidRPr="00CF6D97" w:rsidRDefault="00281350">
            <w:pPr>
              <w:spacing w:before="60" w:after="30"/>
              <w:rPr>
                <w:rFonts w:ascii="Arial Narrow Bold" w:hAnsi="Arial Narrow Bold" w:cs="Arial Narrow Bold"/>
                <w:b/>
                <w:bCs/>
                <w:sz w:val="24"/>
                <w:szCs w:val="24"/>
              </w:rPr>
            </w:pPr>
            <w:r w:rsidRPr="00CF6D97">
              <w:rPr>
                <w:rFonts w:ascii="Arial Narrow Bold" w:eastAsia="Arial" w:hAnsi="Arial Narrow Bold" w:cs="Arial Narrow Bold"/>
                <w:b/>
                <w:bCs/>
                <w:color w:val="003087"/>
                <w:sz w:val="24"/>
                <w:szCs w:val="24"/>
              </w:rPr>
              <w:t>Note de gouvernance</w:t>
            </w:r>
          </w:p>
          <w:p w14:paraId="067DF0C9" w14:textId="77777777" w:rsidR="00AF484A" w:rsidRPr="00CF6D97" w:rsidRDefault="00281350">
            <w:pPr>
              <w:spacing w:after="60"/>
              <w:rPr>
                <w:rFonts w:ascii="Arial Narrow" w:hAnsi="Arial Narrow" w:cs="Arial Narrow"/>
                <w:sz w:val="24"/>
                <w:szCs w:val="24"/>
              </w:rPr>
            </w:pPr>
            <w:r w:rsidRPr="00CF6D97">
              <w:rPr>
                <w:rFonts w:ascii="Arial Narrow" w:eastAsia="Arial" w:hAnsi="Arial Narrow" w:cs="Arial Narrow"/>
                <w:iCs/>
                <w:color w:val="1A1A1A"/>
                <w:sz w:val="24"/>
                <w:szCs w:val="24"/>
              </w:rPr>
              <w:t>L'adhésion à l'ECPC sera portée au plus haut niveau institutionnel du GIM-UEMOA. Le consultant veillera à articuler cette démarche avec le positionnement du GIM-UEMOA comme premier schéma africain membre de l'ECPC, constituant un signal fort de souveraineté technologique et de coopération régionale.</w:t>
            </w:r>
          </w:p>
        </w:tc>
      </w:tr>
    </w:tbl>
    <w:p w14:paraId="2C9E21FE" w14:textId="77777777" w:rsidR="00AF484A" w:rsidRPr="00CF6D97" w:rsidRDefault="00AF484A">
      <w:pPr>
        <w:ind w:left="360"/>
        <w:jc w:val="both"/>
        <w:rPr>
          <w:rFonts w:ascii="Arial Narrow" w:hAnsi="Arial Narrow" w:cs="Arial"/>
          <w:sz w:val="24"/>
          <w:szCs w:val="24"/>
        </w:rPr>
      </w:pPr>
    </w:p>
    <w:p w14:paraId="0437C613" w14:textId="77777777" w:rsidR="00DB6018" w:rsidRPr="00CF6D97" w:rsidRDefault="00DB6018">
      <w:pPr>
        <w:ind w:left="360"/>
        <w:jc w:val="both"/>
        <w:rPr>
          <w:rFonts w:ascii="Arial Narrow" w:hAnsi="Arial Narrow" w:cs="Arial"/>
          <w:b/>
          <w:bCs/>
          <w:sz w:val="24"/>
          <w:szCs w:val="24"/>
        </w:rPr>
      </w:pPr>
    </w:p>
    <w:p w14:paraId="7654F593" w14:textId="52E05C0A" w:rsidR="00AF484A" w:rsidRPr="00CF6D97" w:rsidRDefault="00281350">
      <w:pPr>
        <w:ind w:left="360"/>
        <w:jc w:val="both"/>
        <w:rPr>
          <w:rFonts w:ascii="Arial Narrow" w:hAnsi="Arial Narrow" w:cs="Arial"/>
          <w:b/>
          <w:bCs/>
          <w:sz w:val="24"/>
          <w:szCs w:val="24"/>
        </w:rPr>
      </w:pPr>
      <w:r w:rsidRPr="00CF6D97">
        <w:rPr>
          <w:rFonts w:ascii="Arial Narrow" w:hAnsi="Arial Narrow" w:cs="Arial"/>
          <w:b/>
          <w:bCs/>
          <w:sz w:val="24"/>
          <w:szCs w:val="24"/>
        </w:rPr>
        <w:t>3.1.4 Schéma multi-verticales</w:t>
      </w:r>
    </w:p>
    <w:p w14:paraId="2C73F77D" w14:textId="77777777" w:rsidR="00AF484A" w:rsidRPr="00CF6D97" w:rsidRDefault="00281350">
      <w:pPr>
        <w:spacing w:before="60" w:after="100"/>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 schéma de paiement repositionné du GIM-UEMOA a vocation à devenir une plateforme multi-verticales, structurée autour d'un noyau de paiement interopérable et étendu à quatre verticales métier :</w:t>
      </w:r>
    </w:p>
    <w:p w14:paraId="36B7B35A" w14:textId="77777777" w:rsidR="00AF484A" w:rsidRPr="00CF6D97" w:rsidRDefault="00AF484A">
      <w:pPr>
        <w:spacing w:after="80"/>
      </w:pPr>
    </w:p>
    <w:tbl>
      <w:tblPr>
        <w:tblW w:w="1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000"/>
        <w:gridCol w:w="4635"/>
      </w:tblGrid>
      <w:tr w:rsidR="00AF484A" w:rsidRPr="00CF6D97" w14:paraId="1C71FE68" w14:textId="77777777">
        <w:tc>
          <w:tcPr>
            <w:tcW w:w="24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2D7DA54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Verticale</w:t>
            </w:r>
          </w:p>
        </w:tc>
        <w:tc>
          <w:tcPr>
            <w:tcW w:w="40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04A3016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Nature</w:t>
            </w:r>
          </w:p>
        </w:tc>
        <w:tc>
          <w:tcPr>
            <w:tcW w:w="4635"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3EFBEE7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Niveau de spécification</w:t>
            </w:r>
          </w:p>
        </w:tc>
      </w:tr>
      <w:tr w:rsidR="00AF484A" w:rsidRPr="00CF6D97" w14:paraId="2FAB839A"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EF08A2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Paiement</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035B0A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Verticale centrale — noyau du schéma</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786615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techniques et fonctionnelles complètes</w:t>
            </w:r>
          </w:p>
        </w:tc>
      </w:tr>
      <w:tr w:rsidR="00AF484A" w:rsidRPr="00CF6D97" w14:paraId="2CCC56FC"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85D846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Transport</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91829B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Billettique, contrôle d'accès, mobilité urbaine et interurbaine</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72FF0B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Architecture d'intégration et cadre d'interopérabilité</w:t>
            </w:r>
          </w:p>
        </w:tc>
      </w:tr>
      <w:tr w:rsidR="00AF484A" w:rsidRPr="00CF6D97" w14:paraId="18F1D76A"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F81A0B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Énergie</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EE7E79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Prépaiement, compteurs intelligents, utilities</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122450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Architecture d'intégration et cadre d'interopérabilité</w:t>
            </w:r>
          </w:p>
        </w:tc>
      </w:tr>
      <w:tr w:rsidR="00AF484A" w:rsidRPr="00CF6D97" w14:paraId="2682430B"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5319C5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Aérien</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0A7BC2F"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color w:val="1A1A1A"/>
                <w:sz w:val="24"/>
                <w:szCs w:val="24"/>
              </w:rPr>
              <w:t>Ancillary</w:t>
            </w:r>
            <w:proofErr w:type="spellEnd"/>
            <w:r w:rsidRPr="00CF6D97">
              <w:rPr>
                <w:rFonts w:ascii="Arial Narrow" w:eastAsia="Arial" w:hAnsi="Arial Narrow" w:cs="Arial"/>
                <w:color w:val="1A1A1A"/>
                <w:sz w:val="24"/>
                <w:szCs w:val="24"/>
              </w:rPr>
              <w:t xml:space="preserve"> services, services aéroportuaires, fidélité</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D21E08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Architecture d'intégration et cadre d'interopérabilité</w:t>
            </w:r>
          </w:p>
        </w:tc>
      </w:tr>
      <w:tr w:rsidR="00FB7CF9" w:rsidRPr="00CF6D97" w14:paraId="771E3308"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B7FE24E" w14:textId="4F0F05C1" w:rsidR="00FB7CF9" w:rsidRPr="00CF6D97" w:rsidRDefault="00FB7CF9">
            <w:pPr>
              <w:spacing w:before="60" w:after="60"/>
              <w:rPr>
                <w:rFonts w:ascii="Arial Narrow" w:eastAsia="Arial" w:hAnsi="Arial Narrow" w:cs="Arial"/>
                <w:b/>
                <w:bCs/>
                <w:color w:val="1A1A1A"/>
                <w:sz w:val="24"/>
                <w:szCs w:val="24"/>
              </w:rPr>
            </w:pPr>
            <w:r w:rsidRPr="00CF6D97">
              <w:rPr>
                <w:rFonts w:ascii="Arial Narrow" w:eastAsia="Arial" w:hAnsi="Arial Narrow" w:cs="Arial"/>
                <w:b/>
                <w:bCs/>
                <w:color w:val="1A1A1A"/>
                <w:sz w:val="24"/>
                <w:szCs w:val="24"/>
              </w:rPr>
              <w:t>Services Gouvernementaux</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419A18E" w14:textId="572C9717" w:rsidR="00FB7CF9" w:rsidRPr="00CF6D97" w:rsidRDefault="00FB7CF9">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Services fiscaux, douaniers…</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657888B" w14:textId="4E78D6FE" w:rsidR="00FB7CF9" w:rsidRPr="00CF6D97" w:rsidRDefault="00FB7CF9">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Architecture d'intégration et cadre d'interopérabilité</w:t>
            </w:r>
          </w:p>
        </w:tc>
      </w:tr>
      <w:tr w:rsidR="00AF484A" w:rsidRPr="00CF6D97" w14:paraId="53777971"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60D3736"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b/>
                <w:bCs/>
                <w:color w:val="1A1A1A"/>
                <w:sz w:val="24"/>
                <w:szCs w:val="24"/>
              </w:rPr>
              <w:t>Retailer</w:t>
            </w:r>
            <w:proofErr w:type="spellEnd"/>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74BD65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Fidélité, couponing, gestion des flux marchands</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742A93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Architecture d'intégration et cadre d'interopérabilité</w:t>
            </w:r>
          </w:p>
        </w:tc>
      </w:tr>
      <w:tr w:rsidR="00AF484A" w:rsidRPr="00CF6D97" w14:paraId="5EC99459"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CF2742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Data</w:t>
            </w:r>
          </w:p>
        </w:tc>
        <w:tc>
          <w:tcPr>
            <w:tcW w:w="40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0FDCC7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Verticale transversale — collecte et valorisation des données transactionnelles</w:t>
            </w:r>
          </w:p>
        </w:tc>
        <w:tc>
          <w:tcPr>
            <w:tcW w:w="463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2B60F1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Intégration dans toutes les spécifications (cadre défini par mission dédiée)</w:t>
            </w:r>
          </w:p>
        </w:tc>
      </w:tr>
    </w:tbl>
    <w:p w14:paraId="0895FD1C" w14:textId="0A6C7492"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lastRenderedPageBreak/>
        <w:t xml:space="preserve">Pour les verticales Transport, Énergie, Aérien </w:t>
      </w:r>
      <w:r w:rsidR="00FB7CF9" w:rsidRPr="00CF6D97">
        <w:rPr>
          <w:rFonts w:ascii="Arial Narrow" w:eastAsia="Arial" w:hAnsi="Arial Narrow" w:cs="Arial"/>
          <w:color w:val="1A1A1A"/>
          <w:sz w:val="24"/>
          <w:szCs w:val="24"/>
        </w:rPr>
        <w:t xml:space="preserve">Services Gouvernementaux </w:t>
      </w:r>
      <w:r w:rsidRPr="00CF6D97">
        <w:rPr>
          <w:rFonts w:ascii="Arial Narrow" w:eastAsia="Arial" w:hAnsi="Arial Narrow" w:cs="Arial"/>
          <w:color w:val="1A1A1A"/>
          <w:sz w:val="24"/>
          <w:szCs w:val="24"/>
        </w:rPr>
        <w:t xml:space="preserve">et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 le consultant devra concevoir et documenter pour chacune :</w:t>
      </w:r>
    </w:p>
    <w:p w14:paraId="17EC841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L'architecture fonctionnelle d'intégration avec le noyau de paiement du schéma GIM-UEMOA ;</w:t>
      </w:r>
    </w:p>
    <w:p w14:paraId="659964F5"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interfaces et protocoles d'échange assurant une interopérabilité native entre la verticale Paiement et chaque verticale métier ;</w:t>
      </w:r>
    </w:p>
    <w:p w14:paraId="64C1F77E"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règles de routage, d'autorisation et de réconciliation spécifiques à chaque verticale ;</w:t>
      </w:r>
    </w:p>
    <w:p w14:paraId="1F936929"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prérequis techniques et fonctionnels nécessaires à l'implémentation ultérieure des spécifications complètes.</w:t>
      </w:r>
    </w:p>
    <w:p w14:paraId="14A6C26B" w14:textId="77777777" w:rsidR="00AF484A" w:rsidRPr="00CF6D97" w:rsidRDefault="00AF484A">
      <w:pPr>
        <w:spacing w:after="80"/>
        <w:rPr>
          <w:rFonts w:ascii="Arial Narrow" w:hAnsi="Arial Narrow"/>
          <w:sz w:val="24"/>
          <w:szCs w:val="24"/>
        </w:rPr>
      </w:pPr>
    </w:p>
    <w:p w14:paraId="70369E70"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La verticale Data constitue la couche transversale du schéma. Un chantier dédié à la gouvernance de la Data étant en cours au sein du GIM-UEMOA, le consultant devra intégrer les exigences de collecte et de structuration des données transactionnelles dans l'ensemble des spécifications produites, en cohérence avec la vision Data du GIM-UEMOA, notamment :</w:t>
      </w:r>
    </w:p>
    <w:p w14:paraId="75D71E7F"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traçabilité complète des transactions multi-instruments et multi-verticales ;</w:t>
      </w:r>
    </w:p>
    <w:p w14:paraId="652C14A4"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interfaces de remontée de données vers la plateforme Data du GIM-UEMOA ;</w:t>
      </w:r>
    </w:p>
    <w:p w14:paraId="203156FA"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métadonnées transactionnelles nécessaires à l'alimentation des cas d'usage analytiques.</w:t>
      </w:r>
    </w:p>
    <w:p w14:paraId="7555E496" w14:textId="77777777" w:rsidR="00AF484A" w:rsidRPr="00CF6D97" w:rsidRDefault="00AF484A">
      <w:pPr>
        <w:spacing w:after="80"/>
      </w:pPr>
    </w:p>
    <w:p w14:paraId="2F8450C6" w14:textId="77777777" w:rsidR="00AF484A" w:rsidRPr="00CF6D97" w:rsidRDefault="00281350">
      <w:pPr>
        <w:ind w:left="360"/>
        <w:jc w:val="both"/>
        <w:rPr>
          <w:rFonts w:ascii="Arial Narrow" w:hAnsi="Arial Narrow" w:cs="Arial"/>
          <w:b/>
          <w:bCs/>
          <w:sz w:val="24"/>
          <w:szCs w:val="24"/>
        </w:rPr>
      </w:pPr>
      <w:r w:rsidRPr="00CF6D97">
        <w:rPr>
          <w:rFonts w:ascii="Arial Narrow" w:hAnsi="Arial Narrow" w:cs="Arial"/>
          <w:b/>
          <w:bCs/>
          <w:sz w:val="24"/>
          <w:szCs w:val="24"/>
        </w:rPr>
        <w:t>3.1.5 Gouvernance et corpus réglementaire du schéma</w:t>
      </w:r>
    </w:p>
    <w:p w14:paraId="73C30E9C" w14:textId="77777777" w:rsidR="00AF484A" w:rsidRPr="00CF6D97" w:rsidRDefault="00281350">
      <w:pPr>
        <w:spacing w:before="60" w:after="100"/>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Les nouvelles spécifications du schéma de paiement devront étendre et mettre à jour les corpus réglementaires intrarégionaux existants ainsi que le cadre d'acceptation réciproque entre schémas de paiement domestiques élaboré par le GIM-UEMOA. Cette extension couvrira :</w:t>
      </w:r>
    </w:p>
    <w:p w14:paraId="291AA42A" w14:textId="77777777" w:rsidR="00AF484A" w:rsidRPr="00CF6D97" w:rsidRDefault="00AF484A">
      <w:pPr>
        <w:spacing w:after="80"/>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693"/>
      </w:tblGrid>
      <w:tr w:rsidR="00AF484A" w:rsidRPr="00CF6D97" w14:paraId="228410BE" w14:textId="77777777">
        <w:tc>
          <w:tcPr>
            <w:tcW w:w="32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C625F0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Dimension</w:t>
            </w:r>
          </w:p>
        </w:tc>
        <w:tc>
          <w:tcPr>
            <w:tcW w:w="7693"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4A0EFC8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Contenu attendu</w:t>
            </w:r>
          </w:p>
        </w:tc>
      </w:tr>
      <w:tr w:rsidR="00AF484A" w:rsidRPr="00CF6D97" w14:paraId="635D2E1A"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F020B4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Règles</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EDCAB4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Règles opérationnelles du schéma multi-instruments et multi-verticales</w:t>
            </w:r>
          </w:p>
        </w:tc>
      </w:tr>
      <w:tr w:rsidR="00AF484A" w:rsidRPr="00CF6D97" w14:paraId="0CB71DB9"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D606B8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Principes de gouvernance</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F1CE26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Structure de gouvernance, rôles et responsabilités des participants</w:t>
            </w:r>
          </w:p>
        </w:tc>
      </w:tr>
      <w:tr w:rsidR="00AF484A" w:rsidRPr="00CF6D97" w14:paraId="12CE2C52"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891493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Spécifications techniques</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F2A7DC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Références aux livrables techniques de la présente mission</w:t>
            </w:r>
          </w:p>
        </w:tc>
      </w:tr>
      <w:tr w:rsidR="00AF484A" w:rsidRPr="00CF6D97" w14:paraId="276722D8"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0E10CB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Modalités d'acceptation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33CCE4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Conditions d'accès au schéma pour les acquéreurs et commerçants</w:t>
            </w:r>
          </w:p>
        </w:tc>
      </w:tr>
      <w:tr w:rsidR="00AF484A" w:rsidRPr="00CF6D97" w14:paraId="6BCE24B8"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016FE5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Conditions d'homologation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8D569B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Cadre révisé d'homologation et de certification (en cohérence avec la refonte en cours des processus et services d'homologation)</w:t>
            </w:r>
          </w:p>
        </w:tc>
      </w:tr>
      <w:tr w:rsidR="00AF484A" w:rsidRPr="00CF6D97" w14:paraId="2D26EB77"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C4DCC1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Règles de conformité</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5CCE70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Obligations de conformité des participants, sanctions et mécanismes correctifs</w:t>
            </w:r>
          </w:p>
        </w:tc>
      </w:tr>
      <w:tr w:rsidR="00AF484A" w:rsidRPr="00CF6D97" w14:paraId="183607EF"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B64B6B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Mécanismes de contrôle</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64A750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Supervision, audit, </w:t>
            </w:r>
            <w:proofErr w:type="spellStart"/>
            <w:r w:rsidRPr="00CF6D97">
              <w:rPr>
                <w:rFonts w:ascii="Arial Narrow" w:eastAsia="Arial" w:hAnsi="Arial Narrow" w:cs="Arial"/>
                <w:color w:val="1A1A1A"/>
                <w:sz w:val="24"/>
                <w:szCs w:val="24"/>
              </w:rPr>
              <w:t>reporting</w:t>
            </w:r>
            <w:proofErr w:type="spellEnd"/>
            <w:r w:rsidRPr="00CF6D97">
              <w:rPr>
                <w:rFonts w:ascii="Arial Narrow" w:eastAsia="Arial" w:hAnsi="Arial Narrow" w:cs="Arial"/>
                <w:color w:val="1A1A1A"/>
                <w:sz w:val="24"/>
                <w:szCs w:val="24"/>
              </w:rPr>
              <w:t xml:space="preserve"> réglementaire vers la BCEAO</w:t>
            </w:r>
          </w:p>
        </w:tc>
      </w:tr>
      <w:tr w:rsidR="00AF484A" w:rsidRPr="00CF6D97" w14:paraId="3C780943"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382B3D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lastRenderedPageBreak/>
              <w:t xml:space="preserve">Modèles de </w:t>
            </w:r>
            <w:proofErr w:type="spellStart"/>
            <w:r w:rsidRPr="00CF6D97">
              <w:rPr>
                <w:rFonts w:ascii="Arial Narrow" w:eastAsia="Arial" w:hAnsi="Arial Narrow" w:cs="Arial"/>
                <w:b/>
                <w:bCs/>
                <w:color w:val="1A1A1A"/>
                <w:sz w:val="24"/>
                <w:szCs w:val="24"/>
              </w:rPr>
              <w:t>licensing</w:t>
            </w:r>
            <w:proofErr w:type="spellEnd"/>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E868A9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Cadre de licence structuré (cf. section 3.5)</w:t>
            </w:r>
          </w:p>
        </w:tc>
      </w:tr>
      <w:tr w:rsidR="00AF484A" w:rsidRPr="00CF6D97" w14:paraId="64F072A6"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7302FA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Règles relatives aux données transactionnelles</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725120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Droits, obligations et restrictions sur la collecte, le traitement et la valorisation des données</w:t>
            </w:r>
          </w:p>
        </w:tc>
      </w:tr>
    </w:tbl>
    <w:p w14:paraId="33535CF6" w14:textId="77777777" w:rsidR="00AF484A" w:rsidRPr="00CF6D97" w:rsidRDefault="00AF484A">
      <w:pPr>
        <w:autoSpaceDE w:val="0"/>
        <w:autoSpaceDN w:val="0"/>
        <w:adjustRightInd w:val="0"/>
        <w:jc w:val="both"/>
        <w:rPr>
          <w:rFonts w:ascii="Arial Narrow" w:hAnsi="Arial Narrow"/>
        </w:rPr>
      </w:pPr>
    </w:p>
    <w:p w14:paraId="41AB4FF4"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Identité transactionnelle</w:t>
      </w:r>
    </w:p>
    <w:p w14:paraId="503C508A" w14:textId="77777777" w:rsidR="00AF484A" w:rsidRPr="00CF6D97" w:rsidRDefault="00281350">
      <w:pPr>
        <w:numPr>
          <w:ilvl w:val="0"/>
          <w:numId w:val="13"/>
        </w:numPr>
        <w:jc w:val="both"/>
        <w:rPr>
          <w:rFonts w:ascii="Arial Narrow" w:hAnsi="Arial Narrow" w:cs="Arial"/>
          <w:b/>
          <w:bCs/>
          <w:sz w:val="24"/>
          <w:szCs w:val="24"/>
        </w:rPr>
      </w:pPr>
      <w:r w:rsidRPr="00CF6D97">
        <w:rPr>
          <w:rFonts w:ascii="Arial Narrow" w:hAnsi="Arial Narrow" w:cs="Arial"/>
          <w:b/>
          <w:bCs/>
          <w:sz w:val="24"/>
          <w:szCs w:val="24"/>
        </w:rPr>
        <w:t>Définition et enjeu</w:t>
      </w:r>
    </w:p>
    <w:p w14:paraId="30F31CB2"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L'identité transactionnelle est un concept central du schéma de paiement repositionné du GIM-UEMOA. Elle constitue un livrable de spécification technique à part entière de la présente mission.</w:t>
      </w:r>
    </w:p>
    <w:p w14:paraId="0A2B4125"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L'identité transactionnelle ne se réduit pas à un identifiant de transaction. Elle désigne un référentiel technique unifié permettant de relier, sous une identité de paiement unique contrôlée par le schéma régional, l'ensemble des instruments, identifiants et moyens de paiement associés à un même titulaire ou entité. Cette identité est administrée par le GIM-UEMOA dans le cadre de son rôle d'opérateur du schéma régional.</w:t>
      </w:r>
    </w:p>
    <w:p w14:paraId="15518D06" w14:textId="77777777" w:rsidR="00AF484A" w:rsidRPr="00CF6D97" w:rsidRDefault="00AF484A">
      <w:pPr>
        <w:autoSpaceDE w:val="0"/>
        <w:autoSpaceDN w:val="0"/>
        <w:adjustRightInd w:val="0"/>
        <w:jc w:val="both"/>
        <w:rPr>
          <w:rFonts w:ascii="Arial Narrow" w:hAnsi="Arial Narrow"/>
          <w:sz w:val="24"/>
          <w:szCs w:val="24"/>
        </w:rPr>
      </w:pPr>
    </w:p>
    <w:p w14:paraId="7690EE9C" w14:textId="77777777" w:rsidR="00AF484A" w:rsidRPr="00CF6D97" w:rsidRDefault="00281350">
      <w:pPr>
        <w:numPr>
          <w:ilvl w:val="0"/>
          <w:numId w:val="13"/>
        </w:numPr>
        <w:jc w:val="both"/>
        <w:rPr>
          <w:rFonts w:ascii="Arial Narrow" w:hAnsi="Arial Narrow" w:cs="Arial"/>
          <w:b/>
          <w:bCs/>
          <w:sz w:val="24"/>
          <w:szCs w:val="24"/>
        </w:rPr>
      </w:pPr>
      <w:r w:rsidRPr="00CF6D97">
        <w:rPr>
          <w:rFonts w:ascii="Arial Narrow" w:hAnsi="Arial Narrow" w:cs="Arial"/>
          <w:b/>
          <w:bCs/>
          <w:sz w:val="24"/>
          <w:szCs w:val="24"/>
        </w:rPr>
        <w:t>Composants de l'identité transactionnelle</w:t>
      </w:r>
    </w:p>
    <w:p w14:paraId="29FD0CFC"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Le référentiel d'identité transactionnelle devra permettre de relier notamment les éléments suivants :</w:t>
      </w:r>
    </w:p>
    <w:p w14:paraId="315D489D" w14:textId="77777777" w:rsidR="00AF484A" w:rsidRPr="00CF6D97" w:rsidRDefault="00AF484A">
      <w:pPr>
        <w:spacing w:after="80"/>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693"/>
      </w:tblGrid>
      <w:tr w:rsidR="00AF484A" w:rsidRPr="00CF6D97" w14:paraId="0B3B653D" w14:textId="77777777">
        <w:tc>
          <w:tcPr>
            <w:tcW w:w="32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6A078B6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Composant</w:t>
            </w:r>
          </w:p>
        </w:tc>
        <w:tc>
          <w:tcPr>
            <w:tcW w:w="7693"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273E21D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Nature</w:t>
            </w:r>
          </w:p>
        </w:tc>
      </w:tr>
      <w:tr w:rsidR="00AF484A" w:rsidRPr="00CF6D97" w14:paraId="42FD749E"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46CBE0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PAN / PAN virtuel</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D36B88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Identifiant carte physique ou dématérialisée</w:t>
            </w:r>
          </w:p>
        </w:tc>
      </w:tr>
      <w:tr w:rsidR="00AF484A" w:rsidRPr="00CF6D97" w14:paraId="06CC8B34"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0637CD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BIN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35705B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Plage d'identification de l'émetteur</w:t>
            </w:r>
          </w:p>
        </w:tc>
      </w:tr>
      <w:tr w:rsidR="00AF484A" w:rsidRPr="00CF6D97" w14:paraId="6743D3F6"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BC2EF2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IBAN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DA9A00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Identifiant de compte bancaire</w:t>
            </w:r>
          </w:p>
        </w:tc>
      </w:tr>
      <w:tr w:rsidR="00AF484A" w:rsidRPr="00CF6D97" w14:paraId="377820C9"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B1CABD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Wallet</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FD16BB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Identifiant de portefeuille électronique</w:t>
            </w:r>
          </w:p>
        </w:tc>
      </w:tr>
      <w:tr w:rsidR="00AF484A" w:rsidRPr="00CF6D97" w14:paraId="5678557A"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83D9F7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Compte Mobile Money</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8EE637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Identifiant opérateur mobile</w:t>
            </w:r>
          </w:p>
        </w:tc>
      </w:tr>
      <w:tr w:rsidR="00AF484A" w:rsidRPr="00CF6D97" w14:paraId="49FA1FA2"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0E58CB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Carte virtuelle</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EA2CC58"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color w:val="1A1A1A"/>
                <w:sz w:val="24"/>
                <w:szCs w:val="24"/>
              </w:rPr>
              <w:t>Token</w:t>
            </w:r>
            <w:proofErr w:type="spellEnd"/>
            <w:r w:rsidRPr="00CF6D97">
              <w:rPr>
                <w:rFonts w:ascii="Arial Narrow" w:eastAsia="Arial" w:hAnsi="Arial Narrow" w:cs="Arial"/>
                <w:color w:val="1A1A1A"/>
                <w:sz w:val="24"/>
                <w:szCs w:val="24"/>
              </w:rPr>
              <w:t xml:space="preserve"> de paiement dématérialisé</w:t>
            </w:r>
          </w:p>
        </w:tc>
      </w:tr>
      <w:tr w:rsidR="00AF484A" w:rsidRPr="00CF6D97" w14:paraId="4D6EFCE9"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090756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Éléments KYC</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AB4FF4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Données d'identité vérifiées du titulaire</w:t>
            </w:r>
          </w:p>
        </w:tc>
      </w:tr>
      <w:tr w:rsidR="00AF484A" w:rsidRPr="00CF6D97" w14:paraId="7BB0AB53"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69799CB"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b/>
                <w:bCs/>
                <w:color w:val="1A1A1A"/>
                <w:sz w:val="24"/>
                <w:szCs w:val="24"/>
              </w:rPr>
              <w:t>Tokens</w:t>
            </w:r>
            <w:proofErr w:type="spellEnd"/>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0918167"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color w:val="1A1A1A"/>
                <w:sz w:val="24"/>
                <w:szCs w:val="24"/>
              </w:rPr>
              <w:t>Tokens</w:t>
            </w:r>
            <w:proofErr w:type="spellEnd"/>
            <w:r w:rsidRPr="00CF6D97">
              <w:rPr>
                <w:rFonts w:ascii="Arial Narrow" w:eastAsia="Arial" w:hAnsi="Arial Narrow" w:cs="Arial"/>
                <w:color w:val="1A1A1A"/>
                <w:sz w:val="24"/>
                <w:szCs w:val="24"/>
              </w:rPr>
              <w:t xml:space="preserve"> </w:t>
            </w:r>
            <w:proofErr w:type="spellStart"/>
            <w:r w:rsidRPr="00CF6D97">
              <w:rPr>
                <w:rFonts w:ascii="Arial Narrow" w:eastAsia="Arial" w:hAnsi="Arial Narrow" w:cs="Arial"/>
                <w:color w:val="1A1A1A"/>
                <w:sz w:val="24"/>
                <w:szCs w:val="24"/>
              </w:rPr>
              <w:t>EMVCo</w:t>
            </w:r>
            <w:proofErr w:type="spellEnd"/>
            <w:r w:rsidRPr="00CF6D97">
              <w:rPr>
                <w:rFonts w:ascii="Arial Narrow" w:eastAsia="Arial" w:hAnsi="Arial Narrow" w:cs="Arial"/>
                <w:color w:val="1A1A1A"/>
                <w:sz w:val="24"/>
                <w:szCs w:val="24"/>
              </w:rPr>
              <w:t xml:space="preserve"> ou </w:t>
            </w:r>
            <w:proofErr w:type="spellStart"/>
            <w:r w:rsidRPr="00CF6D97">
              <w:rPr>
                <w:rFonts w:ascii="Arial Narrow" w:eastAsia="Arial" w:hAnsi="Arial Narrow" w:cs="Arial"/>
                <w:color w:val="1A1A1A"/>
                <w:sz w:val="24"/>
                <w:szCs w:val="24"/>
              </w:rPr>
              <w:t>tokens</w:t>
            </w:r>
            <w:proofErr w:type="spellEnd"/>
            <w:r w:rsidRPr="00CF6D97">
              <w:rPr>
                <w:rFonts w:ascii="Arial Narrow" w:eastAsia="Arial" w:hAnsi="Arial Narrow" w:cs="Arial"/>
                <w:color w:val="1A1A1A"/>
                <w:sz w:val="24"/>
                <w:szCs w:val="24"/>
              </w:rPr>
              <w:t xml:space="preserve"> propriétaires du schéma GIM-UEMOA</w:t>
            </w:r>
          </w:p>
        </w:tc>
      </w:tr>
      <w:tr w:rsidR="00AF484A" w:rsidRPr="00CF6D97" w14:paraId="308FC7CA"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7B7C8A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lastRenderedPageBreak/>
              <w:t>QR Codes</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70EB9B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Représentation encapsulée de l'identité pour les usages client et marchand</w:t>
            </w:r>
          </w:p>
        </w:tc>
      </w:tr>
      <w:tr w:rsidR="00AF484A" w:rsidRPr="00CF6D97" w14:paraId="3BC62F62"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A66DE7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Règles de routage</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360F78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Préférences et contraintes de routage associées à l'identité</w:t>
            </w:r>
          </w:p>
        </w:tc>
      </w:tr>
    </w:tbl>
    <w:p w14:paraId="173D77F1" w14:textId="77777777" w:rsidR="00FB7CF9" w:rsidRPr="00CF6D97" w:rsidRDefault="00FB7CF9" w:rsidP="00FB7CF9">
      <w:pPr>
        <w:ind w:left="1080"/>
        <w:jc w:val="both"/>
        <w:rPr>
          <w:rFonts w:ascii="Arial Narrow" w:hAnsi="Arial Narrow" w:cs="Arial"/>
          <w:sz w:val="24"/>
          <w:szCs w:val="24"/>
        </w:rPr>
      </w:pPr>
    </w:p>
    <w:p w14:paraId="762989DD" w14:textId="148396D0" w:rsidR="00AF484A" w:rsidRPr="00CF6D97" w:rsidRDefault="00281350">
      <w:pPr>
        <w:numPr>
          <w:ilvl w:val="0"/>
          <w:numId w:val="13"/>
        </w:numPr>
        <w:jc w:val="both"/>
        <w:rPr>
          <w:rFonts w:ascii="Arial Narrow" w:hAnsi="Arial Narrow" w:cs="Arial"/>
          <w:b/>
          <w:bCs/>
          <w:sz w:val="24"/>
          <w:szCs w:val="24"/>
        </w:rPr>
      </w:pPr>
      <w:r w:rsidRPr="00CF6D97">
        <w:rPr>
          <w:rFonts w:ascii="Arial Narrow" w:hAnsi="Arial Narrow" w:cs="Arial"/>
          <w:b/>
          <w:bCs/>
          <w:sz w:val="24"/>
          <w:szCs w:val="24"/>
        </w:rPr>
        <w:t>Capacités fonctionnelles attendues</w:t>
      </w:r>
    </w:p>
    <w:p w14:paraId="2FA7D585" w14:textId="77777777" w:rsidR="00AF484A" w:rsidRPr="00CF6D97" w:rsidRDefault="00281350">
      <w:pPr>
        <w:spacing w:before="60" w:after="100"/>
        <w:jc w:val="both"/>
      </w:pPr>
      <w:r w:rsidRPr="00CF6D97">
        <w:rPr>
          <w:rFonts w:ascii="Arial" w:eastAsia="Arial" w:hAnsi="Arial" w:cs="Arial"/>
          <w:color w:val="1A1A1A"/>
        </w:rPr>
        <w:t>Les spécifications de l'identité transactionnelle devront permettre :</w:t>
      </w:r>
    </w:p>
    <w:p w14:paraId="7C9A2078" w14:textId="77777777" w:rsidR="00AF484A" w:rsidRPr="00CF6D97" w:rsidRDefault="00281350">
      <w:pPr>
        <w:pStyle w:val="Paragraphedeliste"/>
        <w:numPr>
          <w:ilvl w:val="0"/>
          <w:numId w:val="10"/>
        </w:numPr>
        <w:spacing w:before="40" w:after="60" w:line="240" w:lineRule="auto"/>
      </w:pPr>
      <w:r w:rsidRPr="00CF6D97">
        <w:rPr>
          <w:rFonts w:ascii="Arial" w:eastAsia="Arial" w:hAnsi="Arial" w:cs="Arial"/>
          <w:color w:val="1A1A1A"/>
        </w:rPr>
        <w:t>La sélection dynamique de l'instrument de paiement selon le contexte de la transaction (canal, terminal, montant, disponibilité) à partir d'une identité unique ;</w:t>
      </w:r>
    </w:p>
    <w:p w14:paraId="24B61FAB" w14:textId="77777777" w:rsidR="00AF484A" w:rsidRPr="00CF6D97" w:rsidRDefault="00281350">
      <w:pPr>
        <w:pStyle w:val="Paragraphedeliste"/>
        <w:numPr>
          <w:ilvl w:val="0"/>
          <w:numId w:val="10"/>
        </w:numPr>
        <w:spacing w:before="40" w:after="60" w:line="240" w:lineRule="auto"/>
      </w:pPr>
      <w:r w:rsidRPr="00CF6D97">
        <w:rPr>
          <w:rFonts w:ascii="Arial" w:eastAsia="Arial" w:hAnsi="Arial" w:cs="Arial"/>
          <w:color w:val="1A1A1A"/>
        </w:rPr>
        <w:t>L'encapsulation de l'identité dans un QR code, pour les usages client (présentation à l'acceptation) et marchand (génération de demande de paiement) ;</w:t>
      </w:r>
    </w:p>
    <w:p w14:paraId="5C1C46AA" w14:textId="77777777" w:rsidR="00AF484A" w:rsidRPr="00CF6D97" w:rsidRDefault="00281350">
      <w:pPr>
        <w:pStyle w:val="Paragraphedeliste"/>
        <w:numPr>
          <w:ilvl w:val="0"/>
          <w:numId w:val="10"/>
        </w:numPr>
        <w:spacing w:before="40" w:after="60" w:line="240" w:lineRule="auto"/>
      </w:pPr>
      <w:r w:rsidRPr="00CF6D97">
        <w:rPr>
          <w:rFonts w:ascii="Arial" w:eastAsia="Arial" w:hAnsi="Arial" w:cs="Arial"/>
          <w:color w:val="1A1A1A"/>
        </w:rPr>
        <w:t>L'activation et la désactivation sélective des instruments associés à une identité, sous le contrôle du schéma ;</w:t>
      </w:r>
    </w:p>
    <w:p w14:paraId="32F42802" w14:textId="77777777" w:rsidR="00AF484A" w:rsidRPr="00CF6D97" w:rsidRDefault="00281350">
      <w:pPr>
        <w:pStyle w:val="Paragraphedeliste"/>
        <w:numPr>
          <w:ilvl w:val="0"/>
          <w:numId w:val="10"/>
        </w:numPr>
        <w:spacing w:before="40" w:after="60" w:line="240" w:lineRule="auto"/>
      </w:pPr>
      <w:r w:rsidRPr="00CF6D97">
        <w:rPr>
          <w:rFonts w:ascii="Arial" w:eastAsia="Arial" w:hAnsi="Arial" w:cs="Arial"/>
          <w:color w:val="1A1A1A"/>
        </w:rPr>
        <w:t xml:space="preserve">L'intégration avec </w:t>
      </w:r>
      <w:proofErr w:type="spellStart"/>
      <w:r w:rsidRPr="00CF6D97">
        <w:rPr>
          <w:rFonts w:ascii="Arial" w:eastAsia="Arial" w:hAnsi="Arial" w:cs="Arial"/>
          <w:color w:val="1A1A1A"/>
        </w:rPr>
        <w:t>GIMpay</w:t>
      </w:r>
      <w:proofErr w:type="spellEnd"/>
      <w:r w:rsidRPr="00CF6D97">
        <w:rPr>
          <w:rFonts w:ascii="Arial" w:eastAsia="Arial" w:hAnsi="Arial" w:cs="Arial"/>
          <w:color w:val="1A1A1A"/>
        </w:rPr>
        <w:t xml:space="preserve"> comme application régionale de paiement exposant l'identité transactionnelle à l'utilisateur final ;</w:t>
      </w:r>
    </w:p>
    <w:p w14:paraId="04526A53" w14:textId="77777777" w:rsidR="00AF484A" w:rsidRPr="00CF6D97" w:rsidRDefault="00281350">
      <w:pPr>
        <w:pStyle w:val="Paragraphedeliste"/>
        <w:numPr>
          <w:ilvl w:val="0"/>
          <w:numId w:val="10"/>
        </w:numPr>
        <w:spacing w:before="40" w:after="60" w:line="240" w:lineRule="auto"/>
      </w:pPr>
      <w:r w:rsidRPr="00CF6D97">
        <w:rPr>
          <w:rFonts w:ascii="Arial" w:eastAsia="Arial" w:hAnsi="Arial" w:cs="Arial"/>
          <w:color w:val="1A1A1A"/>
        </w:rPr>
        <w:t>La traçabilité complète de tous les instruments et transactions associés à une identité, pour les besoins de réconciliation, de lutte contre la fraude et d'analyse.</w:t>
      </w:r>
    </w:p>
    <w:p w14:paraId="0C4CDF93" w14:textId="77777777" w:rsidR="00AF484A" w:rsidRPr="00CF6D97" w:rsidRDefault="00AF484A">
      <w:pPr>
        <w:spacing w:after="80"/>
      </w:pPr>
    </w:p>
    <w:p w14:paraId="48301954" w14:textId="77777777" w:rsidR="00AF484A" w:rsidRPr="00CF6D97" w:rsidRDefault="00281350">
      <w:pPr>
        <w:numPr>
          <w:ilvl w:val="0"/>
          <w:numId w:val="13"/>
        </w:numPr>
        <w:jc w:val="both"/>
        <w:rPr>
          <w:rFonts w:ascii="Arial Narrow" w:hAnsi="Arial Narrow" w:cs="Arial"/>
          <w:b/>
          <w:bCs/>
          <w:sz w:val="24"/>
          <w:szCs w:val="24"/>
        </w:rPr>
      </w:pPr>
      <w:r w:rsidRPr="00CF6D97">
        <w:rPr>
          <w:rFonts w:ascii="Arial Narrow" w:hAnsi="Arial Narrow" w:cs="Arial"/>
          <w:b/>
          <w:bCs/>
          <w:sz w:val="24"/>
          <w:szCs w:val="24"/>
        </w:rPr>
        <w:t>Livrables de spécification attendus</w:t>
      </w:r>
    </w:p>
    <w:p w14:paraId="7060DA93"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Le consultant devra produire :</w:t>
      </w:r>
    </w:p>
    <w:p w14:paraId="0CE2F8AF"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L'architecture technique du référentiel d'identité transactionnelle (modèle de données, composants, interfaces) ;</w:t>
      </w:r>
    </w:p>
    <w:p w14:paraId="4A0E7E30"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protocoles de création, gestion, mise à jour et révocation d'une identité transactionnelle ;</w:t>
      </w:r>
    </w:p>
    <w:p w14:paraId="529FA910"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spécifications d'encapsulation de l'identité dans un QR code ;</w:t>
      </w:r>
    </w:p>
    <w:p w14:paraId="7FC4B506"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interfaces entre le référentiel d'identité et les autres composants du schéma (noyau applicatif, module d'autorisation, backoffice, TMS) ;</w:t>
      </w:r>
    </w:p>
    <w:p w14:paraId="78510DA9"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règles de sécurité et de contrôle d'accès associées à la gestion de l'identité transactionnelle.</w:t>
      </w:r>
    </w:p>
    <w:p w14:paraId="1366F8DD" w14:textId="77777777" w:rsidR="00AF484A" w:rsidRPr="00CF6D97" w:rsidRDefault="00AF484A">
      <w:pPr>
        <w:autoSpaceDE w:val="0"/>
        <w:autoSpaceDN w:val="0"/>
        <w:adjustRightInd w:val="0"/>
        <w:jc w:val="both"/>
        <w:rPr>
          <w:rFonts w:ascii="Arial Narrow" w:hAnsi="Arial Narrow"/>
        </w:rPr>
      </w:pPr>
    </w:p>
    <w:p w14:paraId="10AF9E9C"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Noyau applicatif de Paiement Régional</w:t>
      </w:r>
    </w:p>
    <w:p w14:paraId="36D2FC19" w14:textId="77777777" w:rsidR="00AF484A" w:rsidRPr="00CF6D97" w:rsidRDefault="00281350">
      <w:pPr>
        <w:numPr>
          <w:ilvl w:val="0"/>
          <w:numId w:val="14"/>
        </w:numPr>
        <w:jc w:val="both"/>
        <w:rPr>
          <w:rFonts w:ascii="Arial Narrow" w:hAnsi="Arial Narrow" w:cs="Arial"/>
          <w:b/>
          <w:bCs/>
          <w:sz w:val="24"/>
          <w:szCs w:val="24"/>
        </w:rPr>
      </w:pPr>
      <w:r w:rsidRPr="00CF6D97">
        <w:rPr>
          <w:rFonts w:ascii="Arial Narrow" w:hAnsi="Arial Narrow" w:cs="Arial"/>
          <w:b/>
          <w:bCs/>
          <w:sz w:val="24"/>
          <w:szCs w:val="24"/>
        </w:rPr>
        <w:t>Définition et rôle</w:t>
      </w:r>
    </w:p>
    <w:p w14:paraId="5E74C665" w14:textId="77777777" w:rsidR="00AF484A" w:rsidRPr="00CF6D97" w:rsidRDefault="00281350">
      <w:pPr>
        <w:spacing w:before="60" w:after="100"/>
        <w:jc w:val="both"/>
        <w:rPr>
          <w:rFonts w:ascii="Arial Narrow" w:hAnsi="Arial Narrow"/>
          <w:sz w:val="24"/>
          <w:szCs w:val="24"/>
        </w:rPr>
      </w:pPr>
      <w:r w:rsidRPr="00CF6D97">
        <w:rPr>
          <w:rFonts w:ascii="Arial Narrow" w:hAnsi="Arial Narrow"/>
          <w:sz w:val="24"/>
          <w:szCs w:val="24"/>
        </w:rPr>
        <w:t>Le noyau applicatif de paiement régional est un composant logiciel mis à disposition par le GIM-UEMOA à l'ensemble des prestataires désireux de déployer des terminaux de paiement dans la zone UEMOA. Il constitue le socle applicatif de référence du schéma de paiement régional, que tout acquéreur ou prestataire technique devra intégrer comme base de son application de paiement terminal.</w:t>
      </w:r>
    </w:p>
    <w:p w14:paraId="7B4D5166" w14:textId="77777777" w:rsidR="00AF484A" w:rsidRPr="00CF6D97" w:rsidRDefault="00AF484A">
      <w:pPr>
        <w:spacing w:before="60" w:after="100"/>
        <w:jc w:val="both"/>
      </w:pPr>
    </w:p>
    <w:p w14:paraId="4C6AC115" w14:textId="77777777" w:rsidR="00AF484A" w:rsidRPr="00CF6D97" w:rsidRDefault="00281350">
      <w:pPr>
        <w:numPr>
          <w:ilvl w:val="0"/>
          <w:numId w:val="15"/>
        </w:numPr>
        <w:jc w:val="both"/>
        <w:rPr>
          <w:rFonts w:ascii="Arial Narrow" w:hAnsi="Arial Narrow" w:cs="Arial"/>
          <w:b/>
          <w:bCs/>
          <w:sz w:val="24"/>
          <w:szCs w:val="24"/>
        </w:rPr>
      </w:pPr>
      <w:r w:rsidRPr="00CF6D97">
        <w:rPr>
          <w:rFonts w:ascii="Arial Narrow" w:hAnsi="Arial Narrow" w:cs="Arial"/>
          <w:b/>
          <w:bCs/>
          <w:sz w:val="24"/>
          <w:szCs w:val="24"/>
        </w:rPr>
        <w:t>Fonctions fondamentales</w:t>
      </w:r>
    </w:p>
    <w:p w14:paraId="0DC90E8E" w14:textId="77777777" w:rsidR="00AF484A" w:rsidRPr="00CF6D97" w:rsidRDefault="00281350">
      <w:pPr>
        <w:spacing w:before="60" w:after="100"/>
        <w:jc w:val="both"/>
        <w:rPr>
          <w:rFonts w:ascii="Arial Narrow" w:hAnsi="Arial Narrow"/>
          <w:sz w:val="24"/>
          <w:szCs w:val="24"/>
        </w:rPr>
      </w:pPr>
      <w:r w:rsidRPr="00CF6D97">
        <w:rPr>
          <w:rFonts w:ascii="Arial Narrow" w:hAnsi="Arial Narrow"/>
          <w:sz w:val="24"/>
          <w:szCs w:val="24"/>
        </w:rPr>
        <w:t>Le noyau applicatif assure trois fonctions structurantes :</w:t>
      </w:r>
    </w:p>
    <w:p w14:paraId="6D599054"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lastRenderedPageBreak/>
        <w:t xml:space="preserve">Socle d'acceptation multi-instruments : prise en charge native de tous les instruments de paiement reconnus par le schéma GIM-UEMOA — carte (contact et </w:t>
      </w:r>
      <w:proofErr w:type="spellStart"/>
      <w:r w:rsidRPr="00CF6D97">
        <w:rPr>
          <w:rFonts w:ascii="Arial Narrow" w:eastAsia="Arial" w:hAnsi="Arial Narrow" w:cs="Arial"/>
          <w:color w:val="1A1A1A"/>
          <w:sz w:val="24"/>
          <w:szCs w:val="24"/>
        </w:rPr>
        <w:t>contactless</w:t>
      </w:r>
      <w:proofErr w:type="spellEnd"/>
      <w:r w:rsidRPr="00CF6D97">
        <w:rPr>
          <w:rFonts w:ascii="Arial Narrow" w:eastAsia="Arial" w:hAnsi="Arial Narrow" w:cs="Arial"/>
          <w:color w:val="1A1A1A"/>
          <w:sz w:val="24"/>
          <w:szCs w:val="24"/>
        </w:rPr>
        <w:t xml:space="preserve">), mobile money, </w:t>
      </w:r>
      <w:proofErr w:type="spellStart"/>
      <w:r w:rsidRPr="00CF6D97">
        <w:rPr>
          <w:rFonts w:ascii="Arial Narrow" w:eastAsia="Arial" w:hAnsi="Arial Narrow" w:cs="Arial"/>
          <w:color w:val="1A1A1A"/>
          <w:sz w:val="24"/>
          <w:szCs w:val="24"/>
        </w:rPr>
        <w:t>wallet</w:t>
      </w:r>
      <w:proofErr w:type="spellEnd"/>
      <w:r w:rsidRPr="00CF6D97">
        <w:rPr>
          <w:rFonts w:ascii="Arial Narrow" w:eastAsia="Arial" w:hAnsi="Arial Narrow" w:cs="Arial"/>
          <w:color w:val="1A1A1A"/>
          <w:sz w:val="24"/>
          <w:szCs w:val="24"/>
        </w:rPr>
        <w:t>, QR code — et couche d'abstraction permettant au terminal d'opérer de manière agnostique vis-à-vis de l'instrument présenté ;</w:t>
      </w:r>
    </w:p>
    <w:p w14:paraId="23E77A7A" w14:textId="77777777" w:rsidR="00FB7CF9" w:rsidRPr="00CF6D97" w:rsidRDefault="00FB7CF9" w:rsidP="00FB7CF9">
      <w:pPr>
        <w:pStyle w:val="Paragraphedeliste"/>
        <w:spacing w:before="40" w:after="60" w:line="240" w:lineRule="auto"/>
        <w:rPr>
          <w:rFonts w:ascii="Arial Narrow" w:hAnsi="Arial Narrow"/>
          <w:sz w:val="16"/>
          <w:szCs w:val="16"/>
        </w:rPr>
      </w:pPr>
    </w:p>
    <w:p w14:paraId="72C0EF46"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Interface de contrôle TMS : exposition des interfaces nécessaires au TMS régional pour assurer le contrôle des configurations du terminal (paramètres de l'application, tables de routage, clés de sécurité, mises à jour applicatives) et la supervision de son activité transactionnelle ;</w:t>
      </w:r>
    </w:p>
    <w:p w14:paraId="3FB242AD" w14:textId="77777777" w:rsidR="00FB7CF9" w:rsidRPr="00CF6D97" w:rsidRDefault="00FB7CF9" w:rsidP="00FB7CF9">
      <w:pPr>
        <w:pStyle w:val="Paragraphedeliste"/>
        <w:rPr>
          <w:rFonts w:ascii="Arial Narrow" w:hAnsi="Arial Narrow"/>
          <w:sz w:val="16"/>
          <w:szCs w:val="16"/>
        </w:rPr>
      </w:pPr>
    </w:p>
    <w:p w14:paraId="60CEA2F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Vecteur de collecte de la donnée transactionnelle : collecte, structuration et transmission des données transactionnelles selon les formats définis dans le cadre de gouvernance Data du GIM-UEMOA, dès l'instant d'acceptation et tout au long du cycle de traitement de la transaction.</w:t>
      </w:r>
    </w:p>
    <w:p w14:paraId="32ABCB49" w14:textId="77777777" w:rsidR="00AF484A" w:rsidRPr="00CF6D97" w:rsidRDefault="00AF484A" w:rsidP="00FB7CF9">
      <w:pPr>
        <w:spacing w:after="0"/>
        <w:ind w:left="1077"/>
        <w:jc w:val="both"/>
        <w:rPr>
          <w:rFonts w:ascii="Arial Narrow" w:hAnsi="Arial Narrow" w:cs="Arial"/>
          <w:sz w:val="24"/>
          <w:szCs w:val="24"/>
        </w:rPr>
      </w:pPr>
    </w:p>
    <w:p w14:paraId="56B2C787" w14:textId="77777777" w:rsidR="00AF484A" w:rsidRPr="00CF6D97" w:rsidRDefault="00281350">
      <w:pPr>
        <w:numPr>
          <w:ilvl w:val="0"/>
          <w:numId w:val="16"/>
        </w:numPr>
        <w:jc w:val="both"/>
        <w:rPr>
          <w:rFonts w:ascii="Arial Narrow" w:hAnsi="Arial Narrow" w:cs="Arial"/>
          <w:b/>
          <w:bCs/>
          <w:sz w:val="24"/>
          <w:szCs w:val="24"/>
        </w:rPr>
      </w:pPr>
      <w:r w:rsidRPr="00CF6D97">
        <w:rPr>
          <w:rFonts w:ascii="Arial Narrow" w:hAnsi="Arial Narrow" w:cs="Arial"/>
          <w:b/>
          <w:bCs/>
          <w:sz w:val="24"/>
          <w:szCs w:val="24"/>
        </w:rPr>
        <w:t>Standards d'Acceptation/Acquisition</w:t>
      </w:r>
    </w:p>
    <w:p w14:paraId="32F5EA64" w14:textId="77777777" w:rsidR="00AF484A" w:rsidRPr="00CF6D97" w:rsidRDefault="00281350">
      <w:pPr>
        <w:spacing w:before="60" w:after="100"/>
        <w:jc w:val="both"/>
        <w:rPr>
          <w:rFonts w:ascii="Arial Narrow" w:hAnsi="Arial Narrow"/>
          <w:sz w:val="24"/>
          <w:szCs w:val="24"/>
        </w:rPr>
      </w:pPr>
      <w:r w:rsidRPr="00CF6D97">
        <w:rPr>
          <w:rFonts w:ascii="Arial Narrow" w:hAnsi="Arial Narrow"/>
          <w:sz w:val="24"/>
          <w:szCs w:val="24"/>
        </w:rPr>
        <w:t xml:space="preserve">Le standard Nexo </w:t>
      </w:r>
      <w:proofErr w:type="spellStart"/>
      <w:r w:rsidRPr="00CF6D97">
        <w:rPr>
          <w:rFonts w:ascii="Arial Narrow" w:hAnsi="Arial Narrow"/>
          <w:sz w:val="24"/>
          <w:szCs w:val="24"/>
        </w:rPr>
        <w:t>Retailer</w:t>
      </w:r>
      <w:proofErr w:type="spellEnd"/>
      <w:r w:rsidRPr="00CF6D97">
        <w:rPr>
          <w:rFonts w:ascii="Arial Narrow" w:hAnsi="Arial Narrow"/>
          <w:sz w:val="24"/>
          <w:szCs w:val="24"/>
        </w:rPr>
        <w:t xml:space="preserve"> est prescrit comme référentiel de spécification pour les domaines suivants :</w:t>
      </w:r>
    </w:p>
    <w:p w14:paraId="2554F57D" w14:textId="77777777" w:rsidR="00AF484A" w:rsidRPr="00CF6D97" w:rsidRDefault="00281350">
      <w:pPr>
        <w:pStyle w:val="Paragraphedeliste"/>
        <w:numPr>
          <w:ilvl w:val="0"/>
          <w:numId w:val="10"/>
        </w:numPr>
        <w:spacing w:before="40" w:after="60" w:line="240" w:lineRule="auto"/>
        <w:rPr>
          <w:rFonts w:ascii="Arial Narrow" w:eastAsia="Arial" w:hAnsi="Arial Narrow" w:cs="Arial"/>
          <w:color w:val="1A1A1A"/>
          <w:sz w:val="24"/>
          <w:szCs w:val="24"/>
        </w:rPr>
      </w:pPr>
      <w:r w:rsidRPr="00CF6D97">
        <w:rPr>
          <w:rFonts w:ascii="Arial Narrow" w:eastAsia="Arial" w:hAnsi="Arial Narrow" w:cs="Arial"/>
          <w:color w:val="1A1A1A"/>
          <w:sz w:val="24"/>
          <w:szCs w:val="24"/>
        </w:rPr>
        <w:t>Acceptation/Acquisition POS (Point of Sale) ;</w:t>
      </w:r>
    </w:p>
    <w:p w14:paraId="457AD7F7" w14:textId="77777777" w:rsidR="00AF484A" w:rsidRPr="00CF6D97" w:rsidRDefault="00281350">
      <w:pPr>
        <w:pStyle w:val="Paragraphedeliste"/>
        <w:numPr>
          <w:ilvl w:val="0"/>
          <w:numId w:val="10"/>
        </w:numPr>
        <w:spacing w:before="40" w:after="60" w:line="240" w:lineRule="auto"/>
        <w:rPr>
          <w:rFonts w:ascii="Arial Narrow" w:eastAsia="Arial" w:hAnsi="Arial Narrow" w:cs="Arial"/>
          <w:color w:val="1A1A1A"/>
          <w:sz w:val="24"/>
          <w:szCs w:val="24"/>
        </w:rPr>
      </w:pPr>
      <w:r w:rsidRPr="00CF6D97">
        <w:rPr>
          <w:rFonts w:ascii="Arial Narrow" w:eastAsia="Arial" w:hAnsi="Arial Narrow" w:cs="Arial"/>
          <w:color w:val="1A1A1A"/>
          <w:sz w:val="24"/>
          <w:szCs w:val="24"/>
        </w:rPr>
        <w:t>Acceptation/Acquisition GAB/ATM ;</w:t>
      </w:r>
    </w:p>
    <w:p w14:paraId="40F6D169" w14:textId="77777777" w:rsidR="00AF484A" w:rsidRPr="00CF6D97" w:rsidRDefault="00281350">
      <w:pPr>
        <w:pStyle w:val="Paragraphedeliste"/>
        <w:numPr>
          <w:ilvl w:val="0"/>
          <w:numId w:val="10"/>
        </w:numPr>
        <w:spacing w:before="40" w:after="60" w:line="240" w:lineRule="auto"/>
        <w:rPr>
          <w:rFonts w:ascii="Arial Narrow" w:eastAsia="Arial" w:hAnsi="Arial Narrow" w:cs="Arial"/>
          <w:color w:val="1A1A1A"/>
          <w:sz w:val="24"/>
          <w:szCs w:val="24"/>
        </w:rPr>
      </w:pPr>
      <w:r w:rsidRPr="00CF6D97">
        <w:rPr>
          <w:rFonts w:ascii="Arial Narrow" w:eastAsia="Arial" w:hAnsi="Arial Narrow" w:cs="Arial"/>
          <w:color w:val="1A1A1A"/>
          <w:sz w:val="24"/>
          <w:szCs w:val="24"/>
        </w:rPr>
        <w:t>Acceptation/Acquisition E-commerce.</w:t>
      </w:r>
    </w:p>
    <w:p w14:paraId="16C88C09" w14:textId="64860572" w:rsidR="00AF484A" w:rsidRPr="00CF6D97" w:rsidRDefault="00281350">
      <w:pPr>
        <w:spacing w:before="60" w:after="100"/>
        <w:jc w:val="both"/>
        <w:rPr>
          <w:rFonts w:ascii="Arial Narrow" w:hAnsi="Arial Narrow"/>
          <w:sz w:val="24"/>
          <w:szCs w:val="24"/>
        </w:rPr>
      </w:pPr>
      <w:r w:rsidRPr="00CF6D97">
        <w:rPr>
          <w:rFonts w:ascii="Arial Narrow" w:hAnsi="Arial Narrow"/>
          <w:sz w:val="24"/>
          <w:szCs w:val="24"/>
        </w:rPr>
        <w:t xml:space="preserve">Pour les autres domaines d'acceptation couverts par la mission (verticales Transport, Énergie, Aérien, </w:t>
      </w:r>
      <w:r w:rsidR="00FB7CF9" w:rsidRPr="00CF6D97">
        <w:rPr>
          <w:rFonts w:ascii="Arial Narrow" w:hAnsi="Arial Narrow"/>
          <w:sz w:val="24"/>
          <w:szCs w:val="24"/>
        </w:rPr>
        <w:t xml:space="preserve">Services Gouvernementaux, </w:t>
      </w:r>
      <w:proofErr w:type="spellStart"/>
      <w:r w:rsidRPr="00CF6D97">
        <w:rPr>
          <w:rFonts w:ascii="Arial Narrow" w:hAnsi="Arial Narrow"/>
          <w:sz w:val="24"/>
          <w:szCs w:val="24"/>
        </w:rPr>
        <w:t>Retailer</w:t>
      </w:r>
      <w:proofErr w:type="spellEnd"/>
      <w:r w:rsidRPr="00CF6D97">
        <w:rPr>
          <w:rFonts w:ascii="Arial Narrow" w:hAnsi="Arial Narrow"/>
          <w:sz w:val="24"/>
          <w:szCs w:val="24"/>
        </w:rPr>
        <w:t xml:space="preserve"> et cas d'usage QR code sectoriels), le consultant pourra proposer des standards alternatifs dûment justifiés, en cohérence avec les exigences d'interopérabilité du schéma et la trajectoire de migration ISO 20022.</w:t>
      </w:r>
    </w:p>
    <w:p w14:paraId="2EA21678" w14:textId="77777777" w:rsidR="00AF484A" w:rsidRPr="00CF6D97" w:rsidRDefault="00281350">
      <w:pPr>
        <w:spacing w:before="60" w:after="100"/>
        <w:jc w:val="both"/>
        <w:rPr>
          <w:rFonts w:ascii="Arial Narrow" w:hAnsi="Arial Narrow"/>
          <w:sz w:val="24"/>
          <w:szCs w:val="24"/>
        </w:rPr>
      </w:pPr>
      <w:r w:rsidRPr="00CF6D97">
        <w:rPr>
          <w:rFonts w:ascii="Arial Narrow" w:hAnsi="Arial Narrow"/>
          <w:sz w:val="24"/>
          <w:szCs w:val="24"/>
        </w:rPr>
        <w:t>Le GIM-UEMOA souhaite s'appuyer sur Nexo comme levier de modernisation de ses architectures d'échange, en transition progressive au-delà d'ISO 8583 vers des approches API-</w:t>
      </w:r>
      <w:proofErr w:type="spellStart"/>
      <w:r w:rsidRPr="00CF6D97">
        <w:rPr>
          <w:rFonts w:ascii="Arial Narrow" w:hAnsi="Arial Narrow"/>
          <w:sz w:val="24"/>
          <w:szCs w:val="24"/>
        </w:rPr>
        <w:t>driven</w:t>
      </w:r>
      <w:proofErr w:type="spellEnd"/>
      <w:r w:rsidRPr="00CF6D97">
        <w:rPr>
          <w:rFonts w:ascii="Arial Narrow" w:hAnsi="Arial Narrow"/>
          <w:sz w:val="24"/>
          <w:szCs w:val="24"/>
        </w:rPr>
        <w:t xml:space="preserve"> et ISO 20022. Le consultant exploitera notamment la contribution de Nexo sur : l'acceptation et l'acquisition, les environnements terminaux et ATM/GAB, le e-commerce et les QR codes, les flux ISO 20022 et l'intégration multi-rails, ainsi que les cas d'usage sectoriels.</w:t>
      </w:r>
    </w:p>
    <w:p w14:paraId="64383FEB" w14:textId="77777777" w:rsidR="00AF484A" w:rsidRPr="00CF6D97" w:rsidRDefault="00AF484A" w:rsidP="00FB7CF9">
      <w:pPr>
        <w:spacing w:before="60" w:after="0"/>
        <w:jc w:val="both"/>
        <w:rPr>
          <w:rFonts w:ascii="Arial Narrow" w:hAnsi="Arial Narrow"/>
          <w:b/>
          <w:bCs/>
          <w:sz w:val="24"/>
          <w:szCs w:val="24"/>
        </w:rPr>
      </w:pPr>
    </w:p>
    <w:p w14:paraId="64EB5CDA"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Backoffice Monétique Unifié et Module d’Autorisation</w:t>
      </w:r>
    </w:p>
    <w:p w14:paraId="36CC48D2" w14:textId="77777777" w:rsidR="00AF484A" w:rsidRPr="00CF6D97" w:rsidRDefault="00281350">
      <w:pPr>
        <w:numPr>
          <w:ilvl w:val="0"/>
          <w:numId w:val="16"/>
        </w:numPr>
        <w:jc w:val="both"/>
        <w:rPr>
          <w:rFonts w:ascii="Arial Narrow" w:hAnsi="Arial Narrow" w:cs="Arial"/>
          <w:b/>
          <w:bCs/>
          <w:sz w:val="24"/>
          <w:szCs w:val="24"/>
        </w:rPr>
      </w:pPr>
      <w:r w:rsidRPr="00CF6D97">
        <w:rPr>
          <w:rFonts w:ascii="Arial Narrow" w:hAnsi="Arial Narrow" w:cs="Arial"/>
          <w:b/>
          <w:bCs/>
          <w:sz w:val="24"/>
          <w:szCs w:val="24"/>
        </w:rPr>
        <w:t xml:space="preserve">Backoffice monétique unifié </w:t>
      </w:r>
    </w:p>
    <w:p w14:paraId="35AB7646"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 xml:space="preserve">Le consultant devra concevoir et documenter les spécifications d'un backoffice monétique complet pour le traitement des transactions monétiques quels que soient l'instrument de paiement (carte, mobile, etc.), le canal d'acceptation/acquisition (DAB/GAB, POS, VPOS, QR Code, etc.) et le réseau de paiement (GIM, VISA, Mastercard, </w:t>
      </w:r>
      <w:proofErr w:type="spellStart"/>
      <w:r w:rsidRPr="00CF6D97">
        <w:rPr>
          <w:rFonts w:ascii="Arial Narrow" w:hAnsi="Arial Narrow"/>
          <w:sz w:val="24"/>
          <w:szCs w:val="24"/>
        </w:rPr>
        <w:t>UnionPay</w:t>
      </w:r>
      <w:proofErr w:type="spellEnd"/>
      <w:r w:rsidRPr="00CF6D97">
        <w:rPr>
          <w:rFonts w:ascii="Arial Narrow" w:hAnsi="Arial Narrow"/>
          <w:sz w:val="24"/>
          <w:szCs w:val="24"/>
        </w:rPr>
        <w:t>, etc.).</w:t>
      </w:r>
    </w:p>
    <w:p w14:paraId="2441CC65" w14:textId="77777777" w:rsidR="00AF484A" w:rsidRPr="00CF6D97" w:rsidRDefault="00281350" w:rsidP="00FB7CF9">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 xml:space="preserve">Le backoffice monétique s'intègre dans une infrastructure globale dénommée Backoffice Unifié, couvrant le traitement de tous types de flux associés aux opérations monétiques et digitales. Il doit également être intégré aux </w:t>
      </w:r>
      <w:proofErr w:type="spellStart"/>
      <w:r w:rsidRPr="00CF6D97">
        <w:rPr>
          <w:rFonts w:ascii="Arial Narrow" w:hAnsi="Arial Narrow"/>
          <w:sz w:val="24"/>
          <w:szCs w:val="24"/>
        </w:rPr>
        <w:t>backoffices</w:t>
      </w:r>
      <w:proofErr w:type="spellEnd"/>
      <w:r w:rsidRPr="00CF6D97">
        <w:rPr>
          <w:rFonts w:ascii="Arial Narrow" w:hAnsi="Arial Narrow"/>
          <w:sz w:val="24"/>
          <w:szCs w:val="24"/>
        </w:rPr>
        <w:t xml:space="preserve"> des différents réseaux internationaux, y compris leurs solutions et outils de traitement (</w:t>
      </w:r>
      <w:proofErr w:type="spellStart"/>
      <w:r w:rsidRPr="00CF6D97">
        <w:rPr>
          <w:rFonts w:ascii="Arial Narrow" w:hAnsi="Arial Narrow"/>
          <w:sz w:val="24"/>
          <w:szCs w:val="24"/>
        </w:rPr>
        <w:t>Visanet</w:t>
      </w:r>
      <w:proofErr w:type="spellEnd"/>
      <w:r w:rsidRPr="00CF6D97">
        <w:rPr>
          <w:rFonts w:ascii="Arial Narrow" w:hAnsi="Arial Narrow"/>
          <w:sz w:val="24"/>
          <w:szCs w:val="24"/>
        </w:rPr>
        <w:t xml:space="preserve"> Edit Package, Visa </w:t>
      </w:r>
      <w:proofErr w:type="spellStart"/>
      <w:r w:rsidRPr="00CF6D97">
        <w:rPr>
          <w:rFonts w:ascii="Arial Narrow" w:hAnsi="Arial Narrow"/>
          <w:sz w:val="24"/>
          <w:szCs w:val="24"/>
        </w:rPr>
        <w:t>Resolve</w:t>
      </w:r>
      <w:proofErr w:type="spellEnd"/>
      <w:r w:rsidRPr="00CF6D97">
        <w:rPr>
          <w:rFonts w:ascii="Arial Narrow" w:hAnsi="Arial Narrow"/>
          <w:sz w:val="24"/>
          <w:szCs w:val="24"/>
        </w:rPr>
        <w:t xml:space="preserve"> Online, Visa Online, Mastercard File Express, Mastercard </w:t>
      </w:r>
      <w:proofErr w:type="spellStart"/>
      <w:r w:rsidRPr="00CF6D97">
        <w:rPr>
          <w:rFonts w:ascii="Arial Narrow" w:hAnsi="Arial Narrow"/>
          <w:sz w:val="24"/>
          <w:szCs w:val="24"/>
        </w:rPr>
        <w:t>Connect</w:t>
      </w:r>
      <w:proofErr w:type="spellEnd"/>
      <w:r w:rsidRPr="00CF6D97">
        <w:rPr>
          <w:rFonts w:ascii="Arial Narrow" w:hAnsi="Arial Narrow"/>
          <w:sz w:val="24"/>
          <w:szCs w:val="24"/>
        </w:rPr>
        <w:t xml:space="preserve">, </w:t>
      </w:r>
      <w:proofErr w:type="spellStart"/>
      <w:r w:rsidRPr="00CF6D97">
        <w:rPr>
          <w:rFonts w:ascii="Arial Narrow" w:hAnsi="Arial Narrow"/>
          <w:sz w:val="24"/>
          <w:szCs w:val="24"/>
        </w:rPr>
        <w:t>Mastercom</w:t>
      </w:r>
      <w:proofErr w:type="spellEnd"/>
      <w:r w:rsidRPr="00CF6D97">
        <w:rPr>
          <w:rFonts w:ascii="Arial Narrow" w:hAnsi="Arial Narrow"/>
          <w:sz w:val="24"/>
          <w:szCs w:val="24"/>
        </w:rPr>
        <w:t>, etc.).</w:t>
      </w:r>
    </w:p>
    <w:p w14:paraId="6A3F3318" w14:textId="77777777" w:rsidR="00FB7CF9" w:rsidRPr="00CF6D97" w:rsidRDefault="00FB7CF9" w:rsidP="00FB7CF9">
      <w:pPr>
        <w:autoSpaceDE w:val="0"/>
        <w:autoSpaceDN w:val="0"/>
        <w:adjustRightInd w:val="0"/>
        <w:spacing w:after="0"/>
        <w:jc w:val="both"/>
        <w:rPr>
          <w:rFonts w:ascii="Arial Narrow" w:hAnsi="Arial Narrow"/>
          <w:sz w:val="24"/>
          <w:szCs w:val="24"/>
        </w:rPr>
      </w:pPr>
    </w:p>
    <w:tbl>
      <w:tblPr>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33"/>
      </w:tblGrid>
      <w:tr w:rsidR="00AF484A" w:rsidRPr="00CF6D97" w14:paraId="6088C582" w14:textId="77777777">
        <w:tc>
          <w:tcPr>
            <w:tcW w:w="10933" w:type="dxa"/>
            <w:tcBorders>
              <w:top w:val="single" w:sz="0" w:space="0" w:color="C8972B"/>
              <w:left w:val="single" w:sz="0" w:space="0" w:color="C8972B"/>
              <w:bottom w:val="single" w:sz="0" w:space="0" w:color="C8972B"/>
              <w:right w:val="single" w:sz="0" w:space="0" w:color="C8972B"/>
            </w:tcBorders>
            <w:shd w:val="clear" w:color="auto" w:fill="FDF3DC"/>
            <w:tcMar>
              <w:top w:w="100" w:type="dxa"/>
              <w:left w:w="160" w:type="dxa"/>
              <w:bottom w:w="100" w:type="dxa"/>
              <w:right w:w="160" w:type="dxa"/>
            </w:tcMar>
          </w:tcPr>
          <w:p w14:paraId="577D731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i/>
                <w:iCs/>
                <w:color w:val="003087"/>
                <w:sz w:val="24"/>
                <w:szCs w:val="24"/>
              </w:rPr>
              <w:t>Le GIM-UEMOA mettra à disposition du consultant retenu les documentations techniques ICS nécessaires dans le cadre des accords existants et sous réserve des obligations de confidentialité applicables. Le consultant devra préciser dans son offre technique les dépendances documentaires identifiées et leur impact sur le planning de la mission.</w:t>
            </w:r>
          </w:p>
        </w:tc>
      </w:tr>
    </w:tbl>
    <w:p w14:paraId="57F0CDFE" w14:textId="77777777" w:rsidR="00AF484A" w:rsidRPr="00CF6D97" w:rsidRDefault="00281350">
      <w:pPr>
        <w:numPr>
          <w:ilvl w:val="0"/>
          <w:numId w:val="17"/>
        </w:numPr>
        <w:jc w:val="both"/>
        <w:rPr>
          <w:rFonts w:ascii="Arial Narrow" w:hAnsi="Arial Narrow" w:cs="Arial"/>
          <w:b/>
          <w:bCs/>
          <w:sz w:val="24"/>
          <w:szCs w:val="24"/>
        </w:rPr>
      </w:pPr>
      <w:r w:rsidRPr="00CF6D97">
        <w:rPr>
          <w:rFonts w:ascii="Arial Narrow" w:hAnsi="Arial Narrow" w:cs="Arial"/>
          <w:b/>
          <w:bCs/>
          <w:sz w:val="24"/>
          <w:szCs w:val="24"/>
        </w:rPr>
        <w:lastRenderedPageBreak/>
        <w:t>Module unifié d’autorisation</w:t>
      </w:r>
    </w:p>
    <w:p w14:paraId="38391710"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Le consultant devra concevoir et documenter les spécifications d'un module unifié d'autorisation des transactions monétiques et digitales quels que soient l'instrument de paiement, le canal d'acceptation/acquisition, la solution métier et le réseau de paiement.</w:t>
      </w:r>
    </w:p>
    <w:p w14:paraId="1D305511"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module d'autorisation constitue un composant distinct du backoffice monétique, bien qu'en interaction étroite avec lui. Le consultant précisera dans ses spécifications l'architecture fonctionnelle et les interfaces entre ces deux composants, ainsi qu'avec le noyau applicatif et le switch existant.</w:t>
      </w:r>
    </w:p>
    <w:p w14:paraId="5D527D60" w14:textId="77777777" w:rsidR="00AF484A" w:rsidRPr="00CF6D97" w:rsidRDefault="00AF484A">
      <w:pPr>
        <w:autoSpaceDE w:val="0"/>
        <w:autoSpaceDN w:val="0"/>
        <w:adjustRightInd w:val="0"/>
        <w:jc w:val="both"/>
        <w:rPr>
          <w:rFonts w:ascii="Arial Narrow" w:hAnsi="Arial Narrow"/>
          <w:sz w:val="24"/>
          <w:szCs w:val="24"/>
        </w:rPr>
      </w:pPr>
    </w:p>
    <w:p w14:paraId="076F6A18" w14:textId="77777777" w:rsidR="00AF484A" w:rsidRPr="00CF6D97" w:rsidRDefault="00281350">
      <w:pPr>
        <w:numPr>
          <w:ilvl w:val="0"/>
          <w:numId w:val="18"/>
        </w:numPr>
        <w:jc w:val="both"/>
        <w:rPr>
          <w:rFonts w:ascii="Arial Narrow" w:hAnsi="Arial Narrow" w:cs="Arial"/>
          <w:b/>
          <w:bCs/>
          <w:sz w:val="24"/>
          <w:szCs w:val="24"/>
        </w:rPr>
      </w:pPr>
      <w:r w:rsidRPr="00CF6D97">
        <w:rPr>
          <w:rFonts w:ascii="Arial Narrow" w:hAnsi="Arial Narrow" w:cs="Arial"/>
          <w:b/>
          <w:bCs/>
          <w:sz w:val="24"/>
          <w:szCs w:val="24"/>
        </w:rPr>
        <w:t>Spécifications Mobile Money sur rail carte</w:t>
      </w:r>
    </w:p>
    <w:p w14:paraId="67686E2A"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consultant devra concevoir et documenter les spécifications d'émission et d'acceptation du Mobile Money suivant le rail de la carte bancaire. Ces spécifications préciseront notamment le modèle cible retenu (</w:t>
      </w:r>
      <w:proofErr w:type="spellStart"/>
      <w:r w:rsidRPr="00CF6D97">
        <w:rPr>
          <w:rFonts w:ascii="Arial Narrow" w:hAnsi="Arial Narrow"/>
          <w:sz w:val="24"/>
          <w:szCs w:val="24"/>
        </w:rPr>
        <w:t>virtual</w:t>
      </w:r>
      <w:proofErr w:type="spellEnd"/>
      <w:r w:rsidRPr="00CF6D97">
        <w:rPr>
          <w:rFonts w:ascii="Arial Narrow" w:hAnsi="Arial Narrow"/>
          <w:sz w:val="24"/>
          <w:szCs w:val="24"/>
        </w:rPr>
        <w:t xml:space="preserve"> </w:t>
      </w:r>
      <w:proofErr w:type="spellStart"/>
      <w:r w:rsidRPr="00CF6D97">
        <w:rPr>
          <w:rFonts w:ascii="Arial Narrow" w:hAnsi="Arial Narrow"/>
          <w:sz w:val="24"/>
          <w:szCs w:val="24"/>
        </w:rPr>
        <w:t>card</w:t>
      </w:r>
      <w:proofErr w:type="spellEnd"/>
      <w:r w:rsidRPr="00CF6D97">
        <w:rPr>
          <w:rFonts w:ascii="Arial Narrow" w:hAnsi="Arial Narrow"/>
          <w:sz w:val="24"/>
          <w:szCs w:val="24"/>
        </w:rPr>
        <w:t xml:space="preserve"> on mobile, passerelle de conversion Mobile Money / rail carte, ou modèle hybride), les interfaces avec le référentiel d'identité transactionnelle, ainsi que les modalités de traitement par le backoffice et le module d'autorisation.</w:t>
      </w:r>
    </w:p>
    <w:p w14:paraId="388FDA04" w14:textId="77777777" w:rsidR="00AF484A" w:rsidRPr="00CF6D97" w:rsidRDefault="00AF484A">
      <w:pPr>
        <w:autoSpaceDE w:val="0"/>
        <w:autoSpaceDN w:val="0"/>
        <w:adjustRightInd w:val="0"/>
        <w:jc w:val="both"/>
        <w:rPr>
          <w:rFonts w:ascii="Arial Narrow" w:hAnsi="Arial Narrow"/>
        </w:rPr>
      </w:pPr>
    </w:p>
    <w:p w14:paraId="200C2A7E"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 xml:space="preserve">Modèle de </w:t>
      </w:r>
      <w:proofErr w:type="spellStart"/>
      <w:r w:rsidRPr="00CF6D97">
        <w:rPr>
          <w:rFonts w:ascii="Arial Narrow" w:hAnsi="Arial Narrow" w:cs="Arial"/>
          <w:b/>
          <w:bCs/>
          <w:sz w:val="24"/>
          <w:szCs w:val="24"/>
        </w:rPr>
        <w:t>licensing</w:t>
      </w:r>
      <w:proofErr w:type="spellEnd"/>
      <w:r w:rsidRPr="00CF6D97">
        <w:rPr>
          <w:rFonts w:ascii="Arial Narrow" w:hAnsi="Arial Narrow" w:cs="Arial"/>
          <w:b/>
          <w:bCs/>
          <w:sz w:val="24"/>
          <w:szCs w:val="24"/>
        </w:rPr>
        <w:t xml:space="preserve"> du Schéma</w:t>
      </w:r>
    </w:p>
    <w:p w14:paraId="016A4F80"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Une proposition de modèle économique du schéma de paiement a été élaborée dans le cadre d'une mission antérieure. La présente mission devra adapter et compléter ce modèle pour le rendre cohérent avec le repositionnement transaction-</w:t>
      </w:r>
      <w:proofErr w:type="spellStart"/>
      <w:r w:rsidRPr="00CF6D97">
        <w:rPr>
          <w:rFonts w:ascii="Arial Narrow" w:hAnsi="Arial Narrow"/>
          <w:sz w:val="24"/>
          <w:szCs w:val="24"/>
        </w:rPr>
        <w:t>based</w:t>
      </w:r>
      <w:proofErr w:type="spellEnd"/>
      <w:r w:rsidRPr="00CF6D97">
        <w:rPr>
          <w:rFonts w:ascii="Arial Narrow" w:hAnsi="Arial Narrow"/>
          <w:sz w:val="24"/>
          <w:szCs w:val="24"/>
        </w:rPr>
        <w:t xml:space="preserve"> du schéma et les nouvelles catégories de participants et d'usages.</w:t>
      </w:r>
    </w:p>
    <w:p w14:paraId="29DA3B90" w14:textId="77777777" w:rsidR="00AF484A" w:rsidRPr="00CF6D97" w:rsidRDefault="00281350" w:rsidP="00FB7CF9">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 xml:space="preserve">Le modèle de </w:t>
      </w:r>
      <w:proofErr w:type="spellStart"/>
      <w:r w:rsidRPr="00CF6D97">
        <w:rPr>
          <w:rFonts w:ascii="Arial Narrow" w:hAnsi="Arial Narrow"/>
          <w:sz w:val="24"/>
          <w:szCs w:val="24"/>
        </w:rPr>
        <w:t>licensing</w:t>
      </w:r>
      <w:proofErr w:type="spellEnd"/>
      <w:r w:rsidRPr="00CF6D97">
        <w:rPr>
          <w:rFonts w:ascii="Arial Narrow" w:hAnsi="Arial Narrow"/>
          <w:sz w:val="24"/>
          <w:szCs w:val="24"/>
        </w:rPr>
        <w:t xml:space="preserve"> à spécifier devra couvrir notamment :</w:t>
      </w:r>
    </w:p>
    <w:p w14:paraId="7DB10376" w14:textId="77777777" w:rsidR="00AF484A" w:rsidRPr="00CF6D97" w:rsidRDefault="00AF484A" w:rsidP="00FB7CF9">
      <w:pPr>
        <w:autoSpaceDE w:val="0"/>
        <w:autoSpaceDN w:val="0"/>
        <w:adjustRightInd w:val="0"/>
        <w:spacing w:after="0"/>
        <w:jc w:val="both"/>
        <w:rPr>
          <w:rFonts w:ascii="Arial Narrow" w:hAnsi="Arial Narrow"/>
        </w:rPr>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7693"/>
      </w:tblGrid>
      <w:tr w:rsidR="00AF484A" w:rsidRPr="00CF6D97" w14:paraId="46434BC3" w14:textId="77777777">
        <w:tc>
          <w:tcPr>
            <w:tcW w:w="32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8D21F0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Catégorie de licence</w:t>
            </w:r>
          </w:p>
        </w:tc>
        <w:tc>
          <w:tcPr>
            <w:tcW w:w="7693"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D651BA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Bénéficiaires / périmètre</w:t>
            </w:r>
          </w:p>
        </w:tc>
      </w:tr>
      <w:tr w:rsidR="00AF484A" w:rsidRPr="00CF6D97" w14:paraId="4B6A848D"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09A9C8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Licence d'émission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958449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Émetteurs de cartes, de </w:t>
            </w:r>
            <w:proofErr w:type="spellStart"/>
            <w:r w:rsidRPr="00CF6D97">
              <w:rPr>
                <w:rFonts w:ascii="Arial Narrow" w:eastAsia="Arial" w:hAnsi="Arial Narrow" w:cs="Arial"/>
                <w:color w:val="1A1A1A"/>
                <w:sz w:val="24"/>
                <w:szCs w:val="24"/>
              </w:rPr>
              <w:t>wallets</w:t>
            </w:r>
            <w:proofErr w:type="spellEnd"/>
            <w:r w:rsidRPr="00CF6D97">
              <w:rPr>
                <w:rFonts w:ascii="Arial Narrow" w:eastAsia="Arial" w:hAnsi="Arial Narrow" w:cs="Arial"/>
                <w:color w:val="1A1A1A"/>
                <w:sz w:val="24"/>
                <w:szCs w:val="24"/>
              </w:rPr>
              <w:t>, d'instruments mobiles sous le schéma GIM</w:t>
            </w:r>
          </w:p>
        </w:tc>
      </w:tr>
      <w:tr w:rsidR="00AF484A" w:rsidRPr="00CF6D97" w14:paraId="6D59DF39"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017A985"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Licence d'acquisition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6290E5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Acquéreurs déployant des terminaux intégrant le noyau applicatif</w:t>
            </w:r>
          </w:p>
        </w:tc>
      </w:tr>
      <w:tr w:rsidR="00AF484A" w:rsidRPr="00CF6D97" w14:paraId="24D229C6"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0589B7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Licence de personnalisation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2B9148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Prestataires techniques </w:t>
            </w:r>
            <w:proofErr w:type="gramStart"/>
            <w:r w:rsidRPr="00CF6D97">
              <w:rPr>
                <w:rFonts w:ascii="Arial Narrow" w:eastAsia="Arial" w:hAnsi="Arial Narrow" w:cs="Arial"/>
                <w:color w:val="1A1A1A"/>
                <w:sz w:val="24"/>
                <w:szCs w:val="24"/>
              </w:rPr>
              <w:t>customisant</w:t>
            </w:r>
            <w:proofErr w:type="gramEnd"/>
            <w:r w:rsidRPr="00CF6D97">
              <w:rPr>
                <w:rFonts w:ascii="Arial Narrow" w:eastAsia="Arial" w:hAnsi="Arial Narrow" w:cs="Arial"/>
                <w:color w:val="1A1A1A"/>
                <w:sz w:val="24"/>
                <w:szCs w:val="24"/>
              </w:rPr>
              <w:t xml:space="preserve"> l'application régionale</w:t>
            </w:r>
          </w:p>
        </w:tc>
      </w:tr>
      <w:tr w:rsidR="00AF484A" w:rsidRPr="00CF6D97" w14:paraId="4223FE77"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AF26E2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Licence d'usage de l'application régionale</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0DB303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Usage du noyau applicatif et de CPACE/PURE customisé</w:t>
            </w:r>
          </w:p>
        </w:tc>
      </w:tr>
      <w:tr w:rsidR="00AF484A" w:rsidRPr="00CF6D97" w14:paraId="08F1ACF0"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71EAEB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Licence d'homologation</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7EBC28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Accès aux services de certification et de test</w:t>
            </w:r>
          </w:p>
        </w:tc>
      </w:tr>
      <w:tr w:rsidR="00AF484A" w:rsidRPr="00CF6D97" w14:paraId="057588FC"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9271F3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Services associés du schéma</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A9CE0F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Accès aux données agrégées, services de prévention de la fraude, </w:t>
            </w:r>
            <w:proofErr w:type="spellStart"/>
            <w:r w:rsidRPr="00CF6D97">
              <w:rPr>
                <w:rFonts w:ascii="Arial Narrow" w:eastAsia="Arial" w:hAnsi="Arial Narrow" w:cs="Arial"/>
                <w:color w:val="1A1A1A"/>
                <w:sz w:val="24"/>
                <w:szCs w:val="24"/>
              </w:rPr>
              <w:t>reporting</w:t>
            </w:r>
            <w:proofErr w:type="spellEnd"/>
          </w:p>
        </w:tc>
      </w:tr>
      <w:tr w:rsidR="00AF484A" w:rsidRPr="00CF6D97" w14:paraId="66F1D3BC" w14:textId="77777777">
        <w:tc>
          <w:tcPr>
            <w:tcW w:w="3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8714A7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Usages liés aux données transactionnelles</w:t>
            </w:r>
          </w:p>
        </w:tc>
        <w:tc>
          <w:tcPr>
            <w:tcW w:w="7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230CB1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Accès différencié selon le profil et les droits du participant</w:t>
            </w:r>
          </w:p>
        </w:tc>
      </w:tr>
    </w:tbl>
    <w:p w14:paraId="6E923AF4"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lastRenderedPageBreak/>
        <w:t>Le modèle devra rester adapté aux réalités économiques du marché régional — en particulier la capacité contributive des banques de taille moyenne, des fintechs et des acteurs du mobile money — tout en assurant la pérennité financière du schéma domestique face à la concurrence des schémas internationaux.</w:t>
      </w:r>
    </w:p>
    <w:p w14:paraId="1F8D6722" w14:textId="77777777" w:rsidR="00FB7CF9" w:rsidRPr="00CF6D97" w:rsidRDefault="00FB7CF9" w:rsidP="00FB7CF9">
      <w:pPr>
        <w:autoSpaceDE w:val="0"/>
        <w:autoSpaceDN w:val="0"/>
        <w:adjustRightInd w:val="0"/>
        <w:spacing w:after="0"/>
        <w:jc w:val="both"/>
        <w:rPr>
          <w:rFonts w:ascii="Arial Narrow" w:hAnsi="Arial Narrow"/>
          <w:sz w:val="24"/>
          <w:szCs w:val="24"/>
        </w:rPr>
      </w:pPr>
    </w:p>
    <w:p w14:paraId="57E6CD8E"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TMS Régional</w:t>
      </w:r>
    </w:p>
    <w:p w14:paraId="7E1E7124"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Le consultant devra concevoir et documenter les spécifications d'un TMS (Terminal Management System) régional pour le contrôle du déploiement des terminaux de paiement et leur fonctionnement conformément à la réglementation régionale et internationale, ainsi que la supervision des flux transactionnels associés.</w:t>
      </w:r>
    </w:p>
    <w:p w14:paraId="300472E5" w14:textId="77777777" w:rsidR="00AF484A" w:rsidRPr="00CF6D97" w:rsidRDefault="00281350">
      <w:pPr>
        <w:autoSpaceDE w:val="0"/>
        <w:autoSpaceDN w:val="0"/>
        <w:adjustRightInd w:val="0"/>
        <w:jc w:val="both"/>
        <w:rPr>
          <w:rFonts w:ascii="Arial Narrow" w:hAnsi="Arial Narrow"/>
          <w:sz w:val="24"/>
          <w:szCs w:val="24"/>
        </w:rPr>
      </w:pPr>
      <w:r w:rsidRPr="00CF6D97">
        <w:rPr>
          <w:rFonts w:ascii="Arial Narrow" w:hAnsi="Arial Narrow"/>
          <w:sz w:val="24"/>
          <w:szCs w:val="24"/>
        </w:rPr>
        <w:t>Le TMS régional doit assurer notamment :</w:t>
      </w:r>
    </w:p>
    <w:p w14:paraId="4A8EB07E"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gestion du cycle de vie des terminaux (déploiement, configuration, mise à jour, retrait) ;</w:t>
      </w:r>
    </w:p>
    <w:p w14:paraId="5F672F27"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 contrôle des configurations du noyau applicatif intégré dans les terminaux ;</w:t>
      </w:r>
    </w:p>
    <w:p w14:paraId="692A8AC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supervision de l'activité transactionnelle des terminaux en temps réel ou quasi-temps réel ;</w:t>
      </w:r>
    </w:p>
    <w:p w14:paraId="361D744D"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gestion des clés de sécurité et des paramètres cryptographiques ;</w:t>
      </w:r>
    </w:p>
    <w:p w14:paraId="6F0088DD"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prise en charge des terminaux de toutes les verticales (POS, GAB, valideurs transport, compteurs énergie, bornes aéroportuaires, etc.).</w:t>
      </w:r>
    </w:p>
    <w:p w14:paraId="79A08A60" w14:textId="77777777" w:rsidR="00AF484A" w:rsidRPr="00CF6D97" w:rsidRDefault="00AF484A">
      <w:pPr>
        <w:autoSpaceDE w:val="0"/>
        <w:autoSpaceDN w:val="0"/>
        <w:adjustRightInd w:val="0"/>
        <w:jc w:val="both"/>
        <w:rPr>
          <w:rFonts w:ascii="Arial Narrow" w:hAnsi="Arial Narrow"/>
        </w:rPr>
      </w:pPr>
    </w:p>
    <w:p w14:paraId="3CF09875"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Protocoles et spécifications d’échanges ISO 20022 et APIs</w:t>
      </w:r>
    </w:p>
    <w:p w14:paraId="4597BF9D" w14:textId="77777777" w:rsidR="00AF484A" w:rsidRPr="00CF6D97" w:rsidRDefault="00281350">
      <w:pPr>
        <w:numPr>
          <w:ilvl w:val="0"/>
          <w:numId w:val="19"/>
        </w:numPr>
        <w:jc w:val="both"/>
        <w:rPr>
          <w:rFonts w:ascii="Arial Narrow" w:hAnsi="Arial Narrow" w:cs="Arial"/>
          <w:b/>
          <w:bCs/>
          <w:sz w:val="24"/>
          <w:szCs w:val="24"/>
        </w:rPr>
      </w:pPr>
      <w:r w:rsidRPr="00CF6D97">
        <w:rPr>
          <w:rFonts w:ascii="Arial Narrow" w:hAnsi="Arial Narrow" w:cs="Arial"/>
          <w:b/>
          <w:bCs/>
          <w:sz w:val="24"/>
          <w:szCs w:val="24"/>
        </w:rPr>
        <w:t>Trajectoire de modernisation</w:t>
      </w:r>
    </w:p>
    <w:p w14:paraId="588C4446"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GIM-UEMOA souhaite moderniser ses architectures d'échange et évoluer progressivement au-delà d'une logique fondée principalement sur ISO 8583, vers des approches API-</w:t>
      </w:r>
      <w:proofErr w:type="spellStart"/>
      <w:r w:rsidRPr="00CF6D97">
        <w:rPr>
          <w:rFonts w:ascii="Arial Narrow" w:hAnsi="Arial Narrow"/>
          <w:sz w:val="24"/>
          <w:szCs w:val="24"/>
        </w:rPr>
        <w:t>driven</w:t>
      </w:r>
      <w:proofErr w:type="spellEnd"/>
      <w:r w:rsidRPr="00CF6D97">
        <w:rPr>
          <w:rFonts w:ascii="Arial Narrow" w:hAnsi="Arial Narrow"/>
          <w:sz w:val="24"/>
          <w:szCs w:val="24"/>
        </w:rPr>
        <w:t xml:space="preserve"> et alignées avec ISO 20022. Cette trajectoire de modernisation est à la fois une exigence de compétitivité internationale et un levier de structuration de la donnée transactionnelle dès l'acceptation.</w:t>
      </w:r>
    </w:p>
    <w:p w14:paraId="275C776C" w14:textId="77777777" w:rsidR="00AF484A" w:rsidRPr="00CF6D97" w:rsidRDefault="00AF484A">
      <w:pPr>
        <w:spacing w:after="80"/>
      </w:pPr>
    </w:p>
    <w:p w14:paraId="6F968279" w14:textId="77777777" w:rsidR="00AF484A" w:rsidRPr="00CF6D97" w:rsidRDefault="00281350">
      <w:pPr>
        <w:numPr>
          <w:ilvl w:val="0"/>
          <w:numId w:val="20"/>
        </w:numPr>
        <w:jc w:val="both"/>
        <w:rPr>
          <w:rFonts w:ascii="Arial Narrow" w:hAnsi="Arial Narrow" w:cs="Arial"/>
          <w:b/>
          <w:bCs/>
          <w:sz w:val="24"/>
          <w:szCs w:val="24"/>
        </w:rPr>
      </w:pPr>
      <w:r w:rsidRPr="00CF6D97">
        <w:rPr>
          <w:rFonts w:ascii="Arial Narrow" w:hAnsi="Arial Narrow" w:cs="Arial"/>
          <w:b/>
          <w:bCs/>
          <w:sz w:val="24"/>
          <w:szCs w:val="24"/>
        </w:rPr>
        <w:t>Périmètre des spécifications</w:t>
      </w:r>
    </w:p>
    <w:p w14:paraId="3FD3891E"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consultant devra concevoir et documenter les protocoles et spécifications d'échanges couvrant les domaines suivants :</w:t>
      </w:r>
    </w:p>
    <w:p w14:paraId="6BE6F850" w14:textId="77777777" w:rsidR="00AF484A" w:rsidRPr="00CF6D97" w:rsidRDefault="00AF484A">
      <w:pPr>
        <w:spacing w:after="80"/>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241"/>
        <w:gridCol w:w="4252"/>
      </w:tblGrid>
      <w:tr w:rsidR="00AF484A" w:rsidRPr="00CF6D97" w14:paraId="1DFB1A56" w14:textId="77777777">
        <w:tc>
          <w:tcPr>
            <w:tcW w:w="24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3D6A446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Dimension</w:t>
            </w:r>
          </w:p>
        </w:tc>
        <w:tc>
          <w:tcPr>
            <w:tcW w:w="4241"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33B4EA7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Périmètre</w:t>
            </w:r>
          </w:p>
        </w:tc>
        <w:tc>
          <w:tcPr>
            <w:tcW w:w="4252"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6705529"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Standards applicables</w:t>
            </w:r>
          </w:p>
        </w:tc>
      </w:tr>
      <w:tr w:rsidR="00AF484A" w:rsidRPr="00CF6D97" w14:paraId="01BB0C1F"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EC1342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Types de flux</w:t>
            </w:r>
          </w:p>
        </w:tc>
        <w:tc>
          <w:tcPr>
            <w:tcW w:w="424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2F53F17"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Temps réel (online), quasi-temps réel, backoffice, transactionnels et fonctionnels</w:t>
            </w:r>
          </w:p>
        </w:tc>
        <w:tc>
          <w:tcPr>
            <w:tcW w:w="4252"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CE4362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ISO 20022, APIs REST/</w:t>
            </w:r>
            <w:proofErr w:type="spellStart"/>
            <w:r w:rsidRPr="00CF6D97">
              <w:rPr>
                <w:rFonts w:ascii="Arial Narrow" w:eastAsia="Arial" w:hAnsi="Arial Narrow" w:cs="Arial"/>
                <w:color w:val="1A1A1A"/>
                <w:sz w:val="24"/>
                <w:szCs w:val="24"/>
              </w:rPr>
              <w:t>AsyncAPI</w:t>
            </w:r>
            <w:proofErr w:type="spellEnd"/>
          </w:p>
        </w:tc>
      </w:tr>
      <w:tr w:rsidR="00AF484A" w:rsidRPr="00CF6D97" w14:paraId="7A2A7344"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0CE1B7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Acceptation / Acquisition</w:t>
            </w:r>
          </w:p>
        </w:tc>
        <w:tc>
          <w:tcPr>
            <w:tcW w:w="424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21ADDBE" w14:textId="77777777" w:rsidR="00AF484A" w:rsidRPr="00CF6D97" w:rsidRDefault="00281350">
            <w:pPr>
              <w:spacing w:before="60" w:after="60"/>
              <w:rPr>
                <w:rFonts w:ascii="Arial Narrow" w:hAnsi="Arial Narrow"/>
                <w:sz w:val="24"/>
                <w:szCs w:val="24"/>
              </w:rPr>
            </w:pP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 xml:space="preserve">, </w:t>
            </w:r>
            <w:proofErr w:type="spellStart"/>
            <w:r w:rsidRPr="00CF6D97">
              <w:rPr>
                <w:rFonts w:ascii="Arial Narrow" w:eastAsia="Arial" w:hAnsi="Arial Narrow" w:cs="Arial"/>
                <w:color w:val="1A1A1A"/>
                <w:sz w:val="24"/>
                <w:szCs w:val="24"/>
              </w:rPr>
              <w:t>Acquirer</w:t>
            </w:r>
            <w:proofErr w:type="spellEnd"/>
            <w:r w:rsidRPr="00CF6D97">
              <w:rPr>
                <w:rFonts w:ascii="Arial Narrow" w:eastAsia="Arial" w:hAnsi="Arial Narrow" w:cs="Arial"/>
                <w:color w:val="1A1A1A"/>
                <w:sz w:val="24"/>
                <w:szCs w:val="24"/>
              </w:rPr>
              <w:t>, TMS</w:t>
            </w:r>
          </w:p>
        </w:tc>
        <w:tc>
          <w:tcPr>
            <w:tcW w:w="4252"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C56335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Nexo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 ISO 20022</w:t>
            </w:r>
          </w:p>
        </w:tc>
      </w:tr>
      <w:tr w:rsidR="00AF484A" w:rsidRPr="00CF6D97" w14:paraId="5C596A96"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7A9FDE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Interopérabilité</w:t>
            </w:r>
          </w:p>
        </w:tc>
        <w:tc>
          <w:tcPr>
            <w:tcW w:w="424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7E5979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Autorisation, réconciliation, compensation, règlement</w:t>
            </w:r>
          </w:p>
        </w:tc>
        <w:tc>
          <w:tcPr>
            <w:tcW w:w="4252"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D38B6D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ISO 20022</w:t>
            </w:r>
          </w:p>
        </w:tc>
      </w:tr>
      <w:tr w:rsidR="00AF484A" w:rsidRPr="00CF6D97" w14:paraId="002D8F90"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0B99AC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lastRenderedPageBreak/>
              <w:t>Types de services</w:t>
            </w:r>
          </w:p>
        </w:tc>
        <w:tc>
          <w:tcPr>
            <w:tcW w:w="424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99F277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Monétiques, paiement, digitaux, multi-verticales</w:t>
            </w:r>
          </w:p>
        </w:tc>
        <w:tc>
          <w:tcPr>
            <w:tcW w:w="4252"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6E409D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ISO 20022, APIs</w:t>
            </w:r>
          </w:p>
        </w:tc>
      </w:tr>
      <w:tr w:rsidR="00AF484A" w:rsidRPr="00CF6D97" w14:paraId="0DB051D2"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D82838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Instruments et canaux</w:t>
            </w:r>
          </w:p>
        </w:tc>
        <w:tc>
          <w:tcPr>
            <w:tcW w:w="4241"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2DC88C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Carte, Mobile, POS, Web, VPOS, QR Code, GAB</w:t>
            </w:r>
          </w:p>
        </w:tc>
        <w:tc>
          <w:tcPr>
            <w:tcW w:w="4252"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C8D30CD"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Nexo, ISO 20022, </w:t>
            </w:r>
            <w:proofErr w:type="spellStart"/>
            <w:r w:rsidRPr="00CF6D97">
              <w:rPr>
                <w:rFonts w:ascii="Arial Narrow" w:eastAsia="Arial" w:hAnsi="Arial Narrow" w:cs="Arial"/>
                <w:color w:val="1A1A1A"/>
                <w:sz w:val="24"/>
                <w:szCs w:val="24"/>
              </w:rPr>
              <w:t>EMVCo</w:t>
            </w:r>
            <w:proofErr w:type="spellEnd"/>
          </w:p>
        </w:tc>
      </w:tr>
    </w:tbl>
    <w:p w14:paraId="08EC9758" w14:textId="77777777" w:rsidR="00AF484A" w:rsidRPr="00CF6D97" w:rsidRDefault="00AF484A">
      <w:pPr>
        <w:autoSpaceDE w:val="0"/>
        <w:autoSpaceDN w:val="0"/>
        <w:adjustRightInd w:val="0"/>
        <w:jc w:val="both"/>
        <w:rPr>
          <w:rFonts w:ascii="Arial Narrow" w:hAnsi="Arial Narrow"/>
        </w:rPr>
      </w:pPr>
    </w:p>
    <w:p w14:paraId="1F04BB2B" w14:textId="77777777" w:rsidR="00AF484A" w:rsidRPr="00CF6D97" w:rsidRDefault="00281350">
      <w:pPr>
        <w:numPr>
          <w:ilvl w:val="0"/>
          <w:numId w:val="21"/>
        </w:numPr>
        <w:jc w:val="both"/>
        <w:rPr>
          <w:rFonts w:ascii="Arial Narrow" w:hAnsi="Arial Narrow" w:cs="Arial"/>
          <w:b/>
          <w:bCs/>
          <w:sz w:val="24"/>
          <w:szCs w:val="24"/>
        </w:rPr>
      </w:pPr>
      <w:r w:rsidRPr="00CF6D97">
        <w:rPr>
          <w:rFonts w:ascii="Arial Narrow" w:hAnsi="Arial Narrow" w:cs="Arial"/>
          <w:b/>
          <w:bCs/>
          <w:sz w:val="24"/>
          <w:szCs w:val="24"/>
        </w:rPr>
        <w:t>Cadre de gouvernance des APIs</w:t>
      </w:r>
    </w:p>
    <w:p w14:paraId="6D618390"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consultant devra définir un cadre de référence pour les APIs du GIM-UEMOA, précisant au minimum :</w:t>
      </w:r>
    </w:p>
    <w:p w14:paraId="5E907D10"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Les trois niveaux d'exposition : APIs internes entre composants du GIM-UEMOA, APIs exposées aux membres (banques, EME, acquéreurs), APIs ouvertes aux partenaires externes (fintechs, marchands, opérateurs de verticales) ;</w:t>
      </w:r>
    </w:p>
    <w:p w14:paraId="2DB78719"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Le modèle de gouvernance API : API Gateway, portail développeur, gestion des versions ;</w:t>
      </w:r>
    </w:p>
    <w:p w14:paraId="040ED101"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Les standards de sécurité applicables : </w:t>
      </w:r>
      <w:proofErr w:type="spellStart"/>
      <w:r w:rsidRPr="00CF6D97">
        <w:rPr>
          <w:rFonts w:ascii="Arial Narrow" w:eastAsia="Arial" w:hAnsi="Arial Narrow" w:cs="Arial"/>
          <w:color w:val="1A1A1A"/>
          <w:sz w:val="24"/>
          <w:szCs w:val="24"/>
        </w:rPr>
        <w:t>OAuth</w:t>
      </w:r>
      <w:proofErr w:type="spellEnd"/>
      <w:r w:rsidRPr="00CF6D97">
        <w:rPr>
          <w:rFonts w:ascii="Arial Narrow" w:eastAsia="Arial" w:hAnsi="Arial Narrow" w:cs="Arial"/>
          <w:color w:val="1A1A1A"/>
          <w:sz w:val="24"/>
          <w:szCs w:val="24"/>
        </w:rPr>
        <w:t xml:space="preserve"> 2.0, </w:t>
      </w:r>
      <w:proofErr w:type="spellStart"/>
      <w:r w:rsidRPr="00CF6D97">
        <w:rPr>
          <w:rFonts w:ascii="Arial Narrow" w:eastAsia="Arial" w:hAnsi="Arial Narrow" w:cs="Arial"/>
          <w:color w:val="1A1A1A"/>
          <w:sz w:val="24"/>
          <w:szCs w:val="24"/>
        </w:rPr>
        <w:t>mTLS</w:t>
      </w:r>
      <w:proofErr w:type="spellEnd"/>
      <w:r w:rsidRPr="00CF6D97">
        <w:rPr>
          <w:rFonts w:ascii="Arial Narrow" w:eastAsia="Arial" w:hAnsi="Arial Narrow" w:cs="Arial"/>
          <w:color w:val="1A1A1A"/>
          <w:sz w:val="24"/>
          <w:szCs w:val="24"/>
        </w:rPr>
        <w:t xml:space="preserve">, </w:t>
      </w:r>
      <w:proofErr w:type="spellStart"/>
      <w:r w:rsidRPr="00CF6D97">
        <w:rPr>
          <w:rFonts w:ascii="Arial Narrow" w:eastAsia="Arial" w:hAnsi="Arial Narrow" w:cs="Arial"/>
          <w:color w:val="1A1A1A"/>
          <w:sz w:val="24"/>
          <w:szCs w:val="24"/>
        </w:rPr>
        <w:t>Keycloak</w:t>
      </w:r>
      <w:proofErr w:type="spellEnd"/>
      <w:r w:rsidRPr="00CF6D97">
        <w:rPr>
          <w:rFonts w:ascii="Arial Narrow" w:eastAsia="Arial" w:hAnsi="Arial Narrow" w:cs="Arial"/>
          <w:color w:val="1A1A1A"/>
          <w:sz w:val="24"/>
          <w:szCs w:val="24"/>
        </w:rPr>
        <w:t xml:space="preserve"> ;</w:t>
      </w:r>
    </w:p>
    <w:p w14:paraId="44BC8A24"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Les modalités de </w:t>
      </w:r>
      <w:proofErr w:type="spellStart"/>
      <w:r w:rsidRPr="00CF6D97">
        <w:rPr>
          <w:rFonts w:ascii="Arial Narrow" w:eastAsia="Arial" w:hAnsi="Arial Narrow" w:cs="Arial"/>
          <w:color w:val="1A1A1A"/>
          <w:sz w:val="24"/>
          <w:szCs w:val="24"/>
        </w:rPr>
        <w:t>versionning</w:t>
      </w:r>
      <w:proofErr w:type="spellEnd"/>
      <w:r w:rsidRPr="00CF6D97">
        <w:rPr>
          <w:rFonts w:ascii="Arial Narrow" w:eastAsia="Arial" w:hAnsi="Arial Narrow" w:cs="Arial"/>
          <w:color w:val="1A1A1A"/>
          <w:sz w:val="24"/>
          <w:szCs w:val="24"/>
        </w:rPr>
        <w:t xml:space="preserve"> et de dépréciation des APIs.</w:t>
      </w:r>
    </w:p>
    <w:p w14:paraId="6498DED9" w14:textId="77777777" w:rsidR="00AF484A" w:rsidRPr="00CF6D97" w:rsidRDefault="00AF484A">
      <w:pPr>
        <w:ind w:left="1080"/>
        <w:jc w:val="both"/>
        <w:rPr>
          <w:rFonts w:ascii="Arial Narrow" w:hAnsi="Arial Narrow" w:cs="Arial"/>
          <w:sz w:val="24"/>
          <w:szCs w:val="24"/>
        </w:rPr>
      </w:pPr>
    </w:p>
    <w:p w14:paraId="70511991" w14:textId="77777777" w:rsidR="00AF484A" w:rsidRPr="00CF6D97" w:rsidRDefault="00281350">
      <w:pPr>
        <w:numPr>
          <w:ilvl w:val="0"/>
          <w:numId w:val="22"/>
        </w:numPr>
        <w:jc w:val="both"/>
        <w:rPr>
          <w:rFonts w:ascii="Arial Narrow" w:hAnsi="Arial Narrow" w:cs="Arial"/>
          <w:b/>
          <w:bCs/>
          <w:sz w:val="24"/>
          <w:szCs w:val="24"/>
        </w:rPr>
      </w:pPr>
      <w:r w:rsidRPr="00CF6D97">
        <w:rPr>
          <w:rFonts w:ascii="Arial Narrow" w:hAnsi="Arial Narrow" w:cs="Arial"/>
          <w:b/>
          <w:bCs/>
          <w:sz w:val="24"/>
          <w:szCs w:val="24"/>
        </w:rPr>
        <w:t>Souveraineté sur les flux e-commerce</w:t>
      </w:r>
    </w:p>
    <w:p w14:paraId="1994AB28"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 xml:space="preserve">Le GIM-UEMOA entend préserver la maîtrise des flux domestiques et régionaux, y compris sur les parcours d'achat digitaux. Face à l'évolution rapide des grands schémas internationaux, des </w:t>
      </w:r>
      <w:proofErr w:type="spellStart"/>
      <w:r w:rsidRPr="00CF6D97">
        <w:rPr>
          <w:rFonts w:ascii="Arial Narrow" w:hAnsi="Arial Narrow"/>
          <w:sz w:val="24"/>
          <w:szCs w:val="24"/>
        </w:rPr>
        <w:t>wallets</w:t>
      </w:r>
      <w:proofErr w:type="spellEnd"/>
      <w:r w:rsidRPr="00CF6D97">
        <w:rPr>
          <w:rFonts w:ascii="Arial Narrow" w:hAnsi="Arial Narrow"/>
          <w:sz w:val="24"/>
          <w:szCs w:val="24"/>
        </w:rPr>
        <w:t>, de la tokenisation, de Click to Pay et des nouveaux parcours de commerce agentique, les spécifications devront définir les règles et mécanismes permettant au GIM-UEMOA de rester acteur central de l'authentification, de l'autorisation, du routage et de la donnée sur les transactions e-commerce impliquant des instruments régionaux.</w:t>
      </w:r>
    </w:p>
    <w:p w14:paraId="51F76642" w14:textId="77777777" w:rsidR="00AF484A" w:rsidRPr="00CF6D97" w:rsidRDefault="00AF484A">
      <w:pPr>
        <w:autoSpaceDE w:val="0"/>
        <w:autoSpaceDN w:val="0"/>
        <w:adjustRightInd w:val="0"/>
        <w:jc w:val="both"/>
        <w:rPr>
          <w:rFonts w:ascii="Arial Narrow" w:hAnsi="Arial Narrow"/>
        </w:rPr>
      </w:pPr>
    </w:p>
    <w:p w14:paraId="73D42A68" w14:textId="77777777" w:rsidR="00AF484A" w:rsidRPr="00CF6D97" w:rsidRDefault="00281350">
      <w:pPr>
        <w:numPr>
          <w:ilvl w:val="0"/>
          <w:numId w:val="11"/>
        </w:numPr>
        <w:jc w:val="both"/>
        <w:rPr>
          <w:rFonts w:ascii="Arial Narrow" w:hAnsi="Arial Narrow" w:cs="Arial"/>
          <w:b/>
          <w:bCs/>
          <w:sz w:val="24"/>
          <w:szCs w:val="24"/>
        </w:rPr>
      </w:pPr>
      <w:r w:rsidRPr="00CF6D97">
        <w:rPr>
          <w:rFonts w:ascii="Arial Narrow" w:hAnsi="Arial Narrow" w:cs="Arial"/>
          <w:b/>
          <w:bCs/>
          <w:sz w:val="24"/>
          <w:szCs w:val="24"/>
        </w:rPr>
        <w:t>Performance Transactionnelle et Qualité de Service</w:t>
      </w:r>
    </w:p>
    <w:p w14:paraId="74C8C32F"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L'amélioration du taux de conversion et d'acceptation constitue un objectif opérationnel explicite du repositionnement du schéma. Les spécifications produites devront intégrer, pour chaque composant concerné, les exigences permettant d'agir sur les leviers d'amélioration suivants :</w:t>
      </w:r>
    </w:p>
    <w:p w14:paraId="5418C482"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Qualité du routage : règles optimisées, priorisation des rails domestiques, gestion des </w:t>
      </w:r>
      <w:proofErr w:type="spellStart"/>
      <w:r w:rsidRPr="00CF6D97">
        <w:rPr>
          <w:rFonts w:ascii="Arial Narrow" w:eastAsia="Arial" w:hAnsi="Arial Narrow" w:cs="Arial"/>
          <w:color w:val="1A1A1A"/>
          <w:sz w:val="24"/>
          <w:szCs w:val="24"/>
        </w:rPr>
        <w:t>fallbacks</w:t>
      </w:r>
      <w:proofErr w:type="spellEnd"/>
      <w:r w:rsidRPr="00CF6D97">
        <w:rPr>
          <w:rFonts w:ascii="Arial Narrow" w:eastAsia="Arial" w:hAnsi="Arial Narrow" w:cs="Arial"/>
          <w:color w:val="1A1A1A"/>
          <w:sz w:val="24"/>
          <w:szCs w:val="24"/>
        </w:rPr>
        <w:t xml:space="preserve"> ;</w:t>
      </w:r>
    </w:p>
    <w:p w14:paraId="1E7522C5"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Interopérabilité des instruments : fluidité de la transaction quel que soit l'instrument présenté ;</w:t>
      </w:r>
    </w:p>
    <w:p w14:paraId="0BE33A93"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Qualité des données : normalisation des formats, complétude des champs transactionnels, réduction des rejets liés aux données ;</w:t>
      </w:r>
    </w:p>
    <w:p w14:paraId="20237F90"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Capacité de supervision : détection en temps réel des anomalies, alertes et tableaux de bord opérationnels ;</w:t>
      </w:r>
    </w:p>
    <w:p w14:paraId="12D85EDD"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Réduction des frictions d'acceptation : simplification des parcours terminal, optimisation des temps de réponse ;</w:t>
      </w:r>
    </w:p>
    <w:p w14:paraId="5F327727"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Amélioration des parcours clients et marchands : expérience fluide sur l'ensemble des canaux et instruments.</w:t>
      </w:r>
    </w:p>
    <w:p w14:paraId="6C6D5C22" w14:textId="77777777" w:rsidR="00AF484A" w:rsidRPr="00CF6D97" w:rsidRDefault="00AF484A">
      <w:pPr>
        <w:jc w:val="both"/>
        <w:rPr>
          <w:rFonts w:ascii="Arial Narrow" w:hAnsi="Arial Narrow" w:cs="Arial"/>
        </w:rPr>
      </w:pPr>
    </w:p>
    <w:p w14:paraId="024B158C" w14:textId="77777777" w:rsidR="00AF484A" w:rsidRPr="00CF6D97" w:rsidRDefault="00AF484A">
      <w:pPr>
        <w:ind w:left="720"/>
        <w:jc w:val="both"/>
        <w:rPr>
          <w:rFonts w:ascii="Arial Narrow" w:hAnsi="Arial Narrow" w:cs="Arial"/>
          <w:sz w:val="24"/>
          <w:szCs w:val="24"/>
        </w:rPr>
      </w:pPr>
    </w:p>
    <w:p w14:paraId="3BFF7B14" w14:textId="77777777" w:rsidR="00FB7CF9" w:rsidRPr="00CF6D97" w:rsidRDefault="00FB7CF9">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0E309354"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5C172B40"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lastRenderedPageBreak/>
              <w:t xml:space="preserve">PRESTATIONS ET PRIORISATION </w:t>
            </w:r>
          </w:p>
        </w:tc>
      </w:tr>
    </w:tbl>
    <w:p w14:paraId="1D076C01" w14:textId="77777777" w:rsidR="00AF484A" w:rsidRPr="00CF6D97" w:rsidRDefault="00AF484A">
      <w:pPr>
        <w:pStyle w:val="Default"/>
        <w:jc w:val="both"/>
        <w:rPr>
          <w:rFonts w:ascii="Arial Narrow" w:hAnsi="Arial Narrow"/>
          <w:color w:val="auto"/>
          <w:szCs w:val="22"/>
        </w:rPr>
      </w:pPr>
    </w:p>
    <w:p w14:paraId="78126D5C" w14:textId="77777777" w:rsidR="00AF484A" w:rsidRPr="00CF6D97" w:rsidRDefault="00281350">
      <w:pPr>
        <w:numPr>
          <w:ilvl w:val="0"/>
          <w:numId w:val="23"/>
        </w:numPr>
        <w:jc w:val="both"/>
        <w:rPr>
          <w:rFonts w:ascii="Arial Narrow" w:hAnsi="Arial Narrow" w:cs="Arial"/>
          <w:b/>
          <w:bCs/>
          <w:sz w:val="24"/>
          <w:szCs w:val="24"/>
        </w:rPr>
      </w:pPr>
      <w:r w:rsidRPr="00CF6D97">
        <w:rPr>
          <w:rFonts w:ascii="Arial Narrow" w:hAnsi="Arial Narrow" w:cs="Arial"/>
          <w:b/>
          <w:bCs/>
          <w:sz w:val="24"/>
          <w:szCs w:val="24"/>
        </w:rPr>
        <w:t>Prestations attendues</w:t>
      </w:r>
    </w:p>
    <w:p w14:paraId="477CBF78"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soumissionnaire devra instruire les points fondamentaux suivants dans le cadre de la mission :</w:t>
      </w:r>
    </w:p>
    <w:p w14:paraId="2EF9FE93"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Réaliser un état des lieux des protocoles et spécifications existants en matière de paiement marchand (POS, VPOS, QR Code, etc.) : documentations, architectures, protocoles, spécifications ;</w:t>
      </w:r>
    </w:p>
    <w:p w14:paraId="57A3B0AA"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Réaliser un état des lieux des processus, traitements, solutions et outils Backoffice existants et leurs interactions avec les systèmes internes et externes ;</w:t>
      </w:r>
    </w:p>
    <w:p w14:paraId="6A552EAC"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complètes du Backoffice Monétique Unifié (cf. section 3.4.1) ;</w:t>
      </w:r>
    </w:p>
    <w:p w14:paraId="54F84DA5"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du Module Unifié d'Autorisation (cf. section 3.4.2) ;</w:t>
      </w:r>
    </w:p>
    <w:p w14:paraId="29AE1205"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d'émission et d'acceptation du Mobile Money sur rail carte (cf. section 3.4.3) ;</w:t>
      </w:r>
    </w:p>
    <w:p w14:paraId="31CB367C"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de l'Identité Transactionnelle (cf. section 3.2) ;</w:t>
      </w:r>
    </w:p>
    <w:p w14:paraId="7221FD3F"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du Noyau Applicatif de Paiement Régional (cf. section 3.3) ;</w:t>
      </w:r>
    </w:p>
    <w:p w14:paraId="491BBCAA"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du TMS Régional (cf. section 3.6) ;</w:t>
      </w:r>
    </w:p>
    <w:p w14:paraId="02473264"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spécifications de l'application régionale de paiement — customisation CPACE ou PURE (cf. section 3.1.2) ;</w:t>
      </w:r>
    </w:p>
    <w:p w14:paraId="1BA452B8" w14:textId="717266D3"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Concevoir et documenter l'architecture d'intégration multi-verticales (Transport, Énergie, Aérien, </w:t>
      </w:r>
      <w:r w:rsidR="00FB7CF9" w:rsidRPr="00CF6D97">
        <w:rPr>
          <w:rFonts w:ascii="Arial Narrow" w:eastAsia="Arial" w:hAnsi="Arial Narrow" w:cs="Arial"/>
          <w:color w:val="1A1A1A"/>
          <w:sz w:val="24"/>
          <w:szCs w:val="24"/>
        </w:rPr>
        <w:t xml:space="preserve">Services Gouvernementaux,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 et le cadre d'interopérabilité avec la verticale Paiement (cf. section 3.1.3) ;</w:t>
      </w:r>
    </w:p>
    <w:p w14:paraId="14FAC0B4"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Concevoir et documenter les protocoles et spécifications d'échanges ISO 20022 et APIs (cf. section 3.7) ;</w:t>
      </w:r>
    </w:p>
    <w:p w14:paraId="6804DA6D"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Adapter et compléter le modèle de </w:t>
      </w:r>
      <w:proofErr w:type="spellStart"/>
      <w:r w:rsidRPr="00CF6D97">
        <w:rPr>
          <w:rFonts w:ascii="Arial Narrow" w:eastAsia="Arial" w:hAnsi="Arial Narrow" w:cs="Arial"/>
          <w:color w:val="1A1A1A"/>
          <w:sz w:val="24"/>
          <w:szCs w:val="24"/>
        </w:rPr>
        <w:t>licensing</w:t>
      </w:r>
      <w:proofErr w:type="spellEnd"/>
      <w:r w:rsidRPr="00CF6D97">
        <w:rPr>
          <w:rFonts w:ascii="Arial Narrow" w:eastAsia="Arial" w:hAnsi="Arial Narrow" w:cs="Arial"/>
          <w:color w:val="1A1A1A"/>
          <w:sz w:val="24"/>
          <w:szCs w:val="24"/>
        </w:rPr>
        <w:t xml:space="preserve"> du schéma de paiement (cf. section 3.5) ;</w:t>
      </w:r>
    </w:p>
    <w:p w14:paraId="77DC0C98"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Étendre le corpus réglementaire du schéma et le cadre d'acceptation réciproque (cf. section 3.1.4) ;</w:t>
      </w:r>
    </w:p>
    <w:p w14:paraId="1DCF5C5F"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Structurer et élaborer la documentation pour la mise à jour du cadre d'homologation ;</w:t>
      </w:r>
    </w:p>
    <w:p w14:paraId="30E81CBF"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Structurer et documenter un cadre pour la gestion des protocoles et spécifications incluant des outils pour le </w:t>
      </w:r>
      <w:proofErr w:type="spellStart"/>
      <w:r w:rsidRPr="00CF6D97">
        <w:rPr>
          <w:rFonts w:ascii="Arial Narrow" w:eastAsia="Arial" w:hAnsi="Arial Narrow" w:cs="Arial"/>
          <w:color w:val="1A1A1A"/>
          <w:sz w:val="24"/>
          <w:szCs w:val="24"/>
        </w:rPr>
        <w:t>versionning</w:t>
      </w:r>
      <w:proofErr w:type="spellEnd"/>
      <w:r w:rsidRPr="00CF6D97">
        <w:rPr>
          <w:rFonts w:ascii="Arial Narrow" w:eastAsia="Arial" w:hAnsi="Arial Narrow" w:cs="Arial"/>
          <w:color w:val="1A1A1A"/>
          <w:sz w:val="24"/>
          <w:szCs w:val="24"/>
        </w:rPr>
        <w:t>, la maintenance, les évolutions ainsi que leur publication ;</w:t>
      </w:r>
    </w:p>
    <w:p w14:paraId="2714B124"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Accompagner le GIM-UEMOA dans la protection de ses protocoles et spécifications au titre de la propriété intellectuelle ;</w:t>
      </w:r>
    </w:p>
    <w:p w14:paraId="7D6D4C58"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Accompagner le GIM-UEMOA dans la normalisation via le CONOBAFI des nouveaux protocoles et spécifications d'échanges ;</w:t>
      </w:r>
    </w:p>
    <w:p w14:paraId="6DE1B67C" w14:textId="77777777" w:rsidR="00AF484A" w:rsidRPr="00CF6D97" w:rsidRDefault="00281350">
      <w:pPr>
        <w:pStyle w:val="Paragraphedeliste"/>
        <w:numPr>
          <w:ilvl w:val="0"/>
          <w:numId w:val="24"/>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Assurer un transfert de connaissances garantissant une montée en compétences des équipes du GIM-UEMOA.</w:t>
      </w:r>
    </w:p>
    <w:p w14:paraId="369E8D31" w14:textId="77777777" w:rsidR="00AF484A" w:rsidRPr="00CF6D97" w:rsidRDefault="00AF484A">
      <w:pPr>
        <w:jc w:val="both"/>
        <w:rPr>
          <w:rFonts w:ascii="Arial Narrow" w:hAnsi="Arial Narrow" w:cs="Arial"/>
        </w:rPr>
      </w:pPr>
    </w:p>
    <w:p w14:paraId="133FC1B3" w14:textId="77777777" w:rsidR="00AF484A" w:rsidRPr="00CF6D97" w:rsidRDefault="00281350">
      <w:pPr>
        <w:numPr>
          <w:ilvl w:val="0"/>
          <w:numId w:val="23"/>
        </w:numPr>
        <w:jc w:val="both"/>
        <w:rPr>
          <w:rFonts w:ascii="Arial Narrow" w:hAnsi="Arial Narrow" w:cs="Arial"/>
          <w:b/>
          <w:bCs/>
          <w:sz w:val="24"/>
          <w:szCs w:val="24"/>
        </w:rPr>
      </w:pPr>
      <w:r w:rsidRPr="00CF6D97">
        <w:rPr>
          <w:rFonts w:ascii="Arial Narrow" w:hAnsi="Arial Narrow" w:cs="Arial"/>
          <w:b/>
          <w:bCs/>
          <w:sz w:val="24"/>
          <w:szCs w:val="24"/>
        </w:rPr>
        <w:t>Priorisation des lots de travaux</w:t>
      </w:r>
    </w:p>
    <w:p w14:paraId="47831920"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 soumissionnaire devra présenter une démarche de mise en œuvre respectant la priorisation ci-après :</w:t>
      </w:r>
    </w:p>
    <w:p w14:paraId="642AC750" w14:textId="77777777" w:rsidR="00AF484A" w:rsidRPr="00CF6D97" w:rsidRDefault="00AF484A">
      <w:pPr>
        <w:jc w:val="both"/>
        <w:rPr>
          <w:rFonts w:ascii="Arial Narrow" w:hAnsi="Arial Narrow" w:cs="Arial"/>
        </w:rPr>
      </w:pP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9268"/>
      </w:tblGrid>
      <w:tr w:rsidR="00AF484A" w:rsidRPr="00CF6D97" w14:paraId="2A5A94CF" w14:textId="77777777">
        <w:tc>
          <w:tcPr>
            <w:tcW w:w="12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3268E0E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Priorité</w:t>
            </w:r>
          </w:p>
        </w:tc>
        <w:tc>
          <w:tcPr>
            <w:tcW w:w="9268"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C8B138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Livrable / Lot</w:t>
            </w:r>
          </w:p>
        </w:tc>
      </w:tr>
      <w:tr w:rsidR="00AF484A" w:rsidRPr="00CF6D97" w14:paraId="73430A22"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74EA958"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1</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ABC4E2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du Backoffice Monétique Unifié</w:t>
            </w:r>
          </w:p>
        </w:tc>
      </w:tr>
      <w:tr w:rsidR="00AF484A" w:rsidRPr="00CF6D97" w14:paraId="7E477673"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720EAAC"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2</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01F521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du Module Unifié d'Autorisation</w:t>
            </w:r>
          </w:p>
        </w:tc>
      </w:tr>
      <w:tr w:rsidR="00AF484A" w:rsidRPr="00CF6D97" w14:paraId="741AE092"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E4703EA"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lastRenderedPageBreak/>
              <w:t>3</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DD93EF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du Mobile Money sur rail carte</w:t>
            </w:r>
          </w:p>
        </w:tc>
      </w:tr>
      <w:tr w:rsidR="00AF484A" w:rsidRPr="00CF6D97" w14:paraId="0C3B7E87"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F165113"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4</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ADC054E"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de l'Identité Transactionnelle</w:t>
            </w:r>
          </w:p>
        </w:tc>
      </w:tr>
      <w:tr w:rsidR="00AF484A" w:rsidRPr="00CF6D97" w14:paraId="7CFC4511"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614994E"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5</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6A2A50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Protocoles et spécifications d'échanges (temps réel, quasi-temps réel, backoffice) — ISO 20022 et APIs</w:t>
            </w:r>
          </w:p>
        </w:tc>
      </w:tr>
      <w:tr w:rsidR="00AF484A" w:rsidRPr="00CF6D97" w14:paraId="3BFEF121"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DC5EACA"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6</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E00E08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du Noyau Applicatif de Paiement Régional</w:t>
            </w:r>
          </w:p>
        </w:tc>
      </w:tr>
      <w:tr w:rsidR="00AF484A" w:rsidRPr="00CF6D97" w14:paraId="59224AD4"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776CCEE"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7</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F23106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de l'application régionale (customisation CPACE/PURE)</w:t>
            </w:r>
          </w:p>
        </w:tc>
      </w:tr>
      <w:tr w:rsidR="00AF484A" w:rsidRPr="00CF6D97" w14:paraId="08C97D2D"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96664DA"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8</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D7D28F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Architecture d'intégration multi-verticales</w:t>
            </w:r>
          </w:p>
        </w:tc>
      </w:tr>
      <w:tr w:rsidR="00AF484A" w:rsidRPr="00CF6D97" w14:paraId="7A330F4F"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E7D2B3D"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9</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530510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Spécifications du TMS Régional</w:t>
            </w:r>
          </w:p>
        </w:tc>
      </w:tr>
      <w:tr w:rsidR="00AF484A" w:rsidRPr="00CF6D97" w14:paraId="17F006E5"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26F7E88"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10</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E2B193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 xml:space="preserve">Modèle de </w:t>
            </w:r>
            <w:proofErr w:type="spellStart"/>
            <w:r w:rsidRPr="00CF6D97">
              <w:rPr>
                <w:rFonts w:ascii="Arial Narrow" w:eastAsia="Arial" w:hAnsi="Arial Narrow" w:cs="Arial"/>
                <w:color w:val="1A1A1A"/>
                <w:sz w:val="24"/>
                <w:szCs w:val="24"/>
              </w:rPr>
              <w:t>licensing</w:t>
            </w:r>
            <w:proofErr w:type="spellEnd"/>
            <w:r w:rsidRPr="00CF6D97">
              <w:rPr>
                <w:rFonts w:ascii="Arial Narrow" w:eastAsia="Arial" w:hAnsi="Arial Narrow" w:cs="Arial"/>
                <w:color w:val="1A1A1A"/>
                <w:sz w:val="24"/>
                <w:szCs w:val="24"/>
              </w:rPr>
              <w:t xml:space="preserve"> — adaptation et complétion</w:t>
            </w:r>
          </w:p>
        </w:tc>
      </w:tr>
      <w:tr w:rsidR="00AF484A" w:rsidRPr="00CF6D97" w14:paraId="037FB479"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3D81BD5"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11</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5295A7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Corpus réglementaire et cadre d'acceptation réciproque</w:t>
            </w:r>
          </w:p>
        </w:tc>
      </w:tr>
      <w:tr w:rsidR="00AF484A" w:rsidRPr="00CF6D97" w14:paraId="2906C8D3"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5A30E40" w14:textId="77777777" w:rsidR="00AF484A" w:rsidRPr="00CF6D97" w:rsidRDefault="00281350">
            <w:pPr>
              <w:spacing w:before="60" w:after="60"/>
              <w:jc w:val="center"/>
              <w:rPr>
                <w:rFonts w:ascii="Arial Narrow" w:hAnsi="Arial Narrow"/>
                <w:sz w:val="24"/>
                <w:szCs w:val="24"/>
              </w:rPr>
            </w:pPr>
            <w:r w:rsidRPr="00CF6D97">
              <w:rPr>
                <w:rFonts w:ascii="Arial Narrow" w:eastAsia="Arial" w:hAnsi="Arial Narrow" w:cs="Arial"/>
                <w:b/>
                <w:bCs/>
                <w:color w:val="1A1A1A"/>
                <w:sz w:val="24"/>
                <w:szCs w:val="24"/>
              </w:rPr>
              <w:t>12</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49A076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Accompagnement adhésion ECPC et identification partenaires techniques certifiés</w:t>
            </w:r>
          </w:p>
        </w:tc>
      </w:tr>
      <w:tr w:rsidR="00AF484A" w:rsidRPr="00CF6D97" w14:paraId="175852CE" w14:textId="77777777">
        <w:tc>
          <w:tcPr>
            <w:tcW w:w="12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67DA276" w14:textId="77777777" w:rsidR="00AF484A" w:rsidRPr="00CF6D97" w:rsidRDefault="00281350">
            <w:pPr>
              <w:spacing w:before="60" w:after="60"/>
              <w:jc w:val="center"/>
              <w:rPr>
                <w:rFonts w:ascii="Arial Narrow" w:eastAsia="Arial" w:hAnsi="Arial Narrow" w:cs="Arial"/>
                <w:b/>
                <w:bCs/>
                <w:color w:val="1A1A1A"/>
                <w:sz w:val="24"/>
                <w:szCs w:val="24"/>
                <w:lang w:val="en-US"/>
              </w:rPr>
            </w:pPr>
            <w:r w:rsidRPr="00CF6D97">
              <w:rPr>
                <w:rFonts w:ascii="Arial Narrow" w:eastAsia="Arial" w:hAnsi="Arial Narrow" w:cs="Arial"/>
                <w:b/>
                <w:bCs/>
                <w:color w:val="1A1A1A"/>
                <w:sz w:val="24"/>
                <w:szCs w:val="24"/>
                <w:lang w:val="en-US"/>
              </w:rPr>
              <w:t>13</w:t>
            </w:r>
          </w:p>
        </w:tc>
        <w:tc>
          <w:tcPr>
            <w:tcW w:w="9268"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5CD323C" w14:textId="77777777" w:rsidR="00AF484A" w:rsidRPr="00CF6D97" w:rsidRDefault="00281350">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Dossiers de normalisation CONOBAFI et autres livrables transverses</w:t>
            </w:r>
          </w:p>
        </w:tc>
      </w:tr>
    </w:tbl>
    <w:p w14:paraId="5359305E" w14:textId="77777777" w:rsidR="00AF484A" w:rsidRPr="00CF6D97" w:rsidRDefault="00AF484A">
      <w:pPr>
        <w:jc w:val="both"/>
        <w:rPr>
          <w:rFonts w:ascii="Arial Narrow" w:hAnsi="Arial Narrow" w:cs="Arial"/>
        </w:rPr>
      </w:pPr>
    </w:p>
    <w:p w14:paraId="25252802"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459ADDDA"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6965595B"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t xml:space="preserve">DUREE ET PHASAGE DE LA MISSION </w:t>
            </w:r>
          </w:p>
        </w:tc>
      </w:tr>
    </w:tbl>
    <w:p w14:paraId="3716E41D" w14:textId="77777777" w:rsidR="00AF484A" w:rsidRPr="00CF6D97" w:rsidRDefault="00AF484A">
      <w:pPr>
        <w:pStyle w:val="Default"/>
        <w:jc w:val="both"/>
        <w:rPr>
          <w:rFonts w:ascii="Arial Narrow" w:hAnsi="Arial Narrow"/>
          <w:color w:val="auto"/>
          <w:szCs w:val="22"/>
        </w:rPr>
      </w:pPr>
    </w:p>
    <w:p w14:paraId="613817F4"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 xml:space="preserve">La durée de la mission est estimée par le GIM-UEMOA entre 18 et 24 mois. Le soumissionnaire proposera un planning détaillé justifiant sa propre estimation, en respectant impérativement la priorisation des livrables définie à la section IV. </w:t>
      </w:r>
    </w:p>
    <w:p w14:paraId="220B8121" w14:textId="77777777" w:rsidR="00AF484A" w:rsidRPr="00CF6D97" w:rsidRDefault="00AF484A">
      <w:pPr>
        <w:autoSpaceDE w:val="0"/>
        <w:autoSpaceDN w:val="0"/>
        <w:adjustRightInd w:val="0"/>
        <w:spacing w:after="0"/>
        <w:jc w:val="both"/>
        <w:rPr>
          <w:rFonts w:ascii="Arial Narrow" w:hAnsi="Arial Narrow"/>
          <w:sz w:val="24"/>
          <w:szCs w:val="24"/>
        </w:rPr>
      </w:pPr>
    </w:p>
    <w:p w14:paraId="3989685D"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Les offres dont le planning serait inférieur à 16 mois ou supérieur à 30 mois feront l'objet d'une demande de clarification.</w:t>
      </w:r>
    </w:p>
    <w:p w14:paraId="769A1C74" w14:textId="77777777" w:rsidR="00AF484A" w:rsidRPr="00CF6D97" w:rsidRDefault="00AF484A">
      <w:pPr>
        <w:autoSpaceDE w:val="0"/>
        <w:autoSpaceDN w:val="0"/>
        <w:adjustRightInd w:val="0"/>
        <w:spacing w:after="0"/>
        <w:jc w:val="both"/>
        <w:rPr>
          <w:rFonts w:ascii="Arial Narrow" w:hAnsi="Arial Narrow"/>
          <w:sz w:val="24"/>
          <w:szCs w:val="24"/>
        </w:rPr>
      </w:pPr>
    </w:p>
    <w:p w14:paraId="17D46C8D"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La mission est structurée en trois phases indicatives :</w:t>
      </w:r>
    </w:p>
    <w:p w14:paraId="34CF9717" w14:textId="77777777" w:rsidR="00AF484A" w:rsidRPr="00CF6D97" w:rsidRDefault="00AF484A">
      <w:pPr>
        <w:jc w:val="both"/>
        <w:rPr>
          <w:rFonts w:ascii="Arial Narrow" w:hAnsi="Arial Narrow" w:cs="Arial"/>
        </w:rPr>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5800"/>
        <w:gridCol w:w="2693"/>
      </w:tblGrid>
      <w:tr w:rsidR="00AF484A" w:rsidRPr="00CF6D97" w14:paraId="5B7FB075" w14:textId="77777777">
        <w:tc>
          <w:tcPr>
            <w:tcW w:w="24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65B47C1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Phase</w:t>
            </w:r>
          </w:p>
        </w:tc>
        <w:tc>
          <w:tcPr>
            <w:tcW w:w="58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2A55310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Contenu</w:t>
            </w:r>
          </w:p>
        </w:tc>
        <w:tc>
          <w:tcPr>
            <w:tcW w:w="2693"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6013AE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Durée indicative</w:t>
            </w:r>
          </w:p>
        </w:tc>
      </w:tr>
      <w:tr w:rsidR="00AF484A" w:rsidRPr="00CF6D97" w14:paraId="6886FA7F"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B058FC8"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Phase 1 — État des lieux, cadrage et adhésion ECPC</w:t>
            </w:r>
          </w:p>
        </w:tc>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59A4943" w14:textId="77777777" w:rsidR="00AF484A" w:rsidRPr="00CF6D97" w:rsidRDefault="00281350">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 xml:space="preserve">Audit des protocoles et solutions existants. Ateliers de cadrage avec les équipes GIM-UEMOA. Validation du schéma fonctionnel cible multi-verticales. Cadrage du RIPT </w:t>
            </w:r>
            <w:r w:rsidRPr="00CF6D97">
              <w:rPr>
                <w:rFonts w:ascii="Arial Narrow" w:eastAsia="Arial" w:hAnsi="Arial Narrow" w:cs="Arial"/>
                <w:color w:val="1A1A1A"/>
                <w:sz w:val="24"/>
                <w:szCs w:val="24"/>
              </w:rPr>
              <w:lastRenderedPageBreak/>
              <w:t>(architecture, modèle de données, protocole de résolution). Lancement de la démarche d'adhésion à l'ECPC.</w:t>
            </w:r>
          </w:p>
        </w:tc>
        <w:tc>
          <w:tcPr>
            <w:tcW w:w="2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EB49DF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lang w:val="en-US"/>
              </w:rPr>
              <w:lastRenderedPageBreak/>
              <w:t>3</w:t>
            </w:r>
            <w:r w:rsidRPr="00CF6D97">
              <w:rPr>
                <w:rFonts w:ascii="Arial Narrow" w:eastAsia="Arial" w:hAnsi="Arial Narrow" w:cs="Arial"/>
                <w:color w:val="1A1A1A"/>
                <w:sz w:val="24"/>
                <w:szCs w:val="24"/>
              </w:rPr>
              <w:t xml:space="preserve"> à </w:t>
            </w:r>
            <w:r w:rsidRPr="00CF6D97">
              <w:rPr>
                <w:rFonts w:ascii="Arial Narrow" w:eastAsia="Arial" w:hAnsi="Arial Narrow" w:cs="Arial"/>
                <w:color w:val="1A1A1A"/>
                <w:sz w:val="24"/>
                <w:szCs w:val="24"/>
                <w:lang w:val="en-US"/>
              </w:rPr>
              <w:t>4</w:t>
            </w:r>
            <w:r w:rsidRPr="00CF6D97">
              <w:rPr>
                <w:rFonts w:ascii="Arial Narrow" w:eastAsia="Arial" w:hAnsi="Arial Narrow" w:cs="Arial"/>
                <w:color w:val="1A1A1A"/>
                <w:sz w:val="24"/>
                <w:szCs w:val="24"/>
              </w:rPr>
              <w:t xml:space="preserve"> mois</w:t>
            </w:r>
          </w:p>
        </w:tc>
      </w:tr>
      <w:tr w:rsidR="00AF484A" w:rsidRPr="00CF6D97" w14:paraId="43568CD4"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7D9B17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Phase 2 — Spécifications techniques</w:t>
            </w:r>
          </w:p>
        </w:tc>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57F10B0" w14:textId="77777777" w:rsidR="00AF484A" w:rsidRPr="00CF6D97" w:rsidRDefault="00281350">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Production des spécifications par ordre de priorité (cf. section 4.2). Ateliers de validation intermédiaires par lot. Révisions itératives avec les équipes GIM-UEMOA. Accompagnement à la finalisation de l'adhésion ECPC et à l'identification des partenaires techniques.</w:t>
            </w:r>
          </w:p>
        </w:tc>
        <w:tc>
          <w:tcPr>
            <w:tcW w:w="2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68A2711"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1</w:t>
            </w:r>
            <w:r w:rsidRPr="00CF6D97">
              <w:rPr>
                <w:rFonts w:ascii="Arial Narrow" w:eastAsia="Arial" w:hAnsi="Arial Narrow" w:cs="Arial"/>
                <w:color w:val="1A1A1A"/>
                <w:sz w:val="24"/>
                <w:szCs w:val="24"/>
                <w:lang w:val="en-US"/>
              </w:rPr>
              <w:t>2</w:t>
            </w:r>
            <w:r w:rsidRPr="00CF6D97">
              <w:rPr>
                <w:rFonts w:ascii="Arial Narrow" w:eastAsia="Arial" w:hAnsi="Arial Narrow" w:cs="Arial"/>
                <w:color w:val="1A1A1A"/>
                <w:sz w:val="24"/>
                <w:szCs w:val="24"/>
              </w:rPr>
              <w:t xml:space="preserve"> à 1</w:t>
            </w:r>
            <w:r w:rsidRPr="00CF6D97">
              <w:rPr>
                <w:rFonts w:ascii="Arial Narrow" w:eastAsia="Arial" w:hAnsi="Arial Narrow" w:cs="Arial"/>
                <w:color w:val="1A1A1A"/>
                <w:sz w:val="24"/>
                <w:szCs w:val="24"/>
                <w:lang w:val="en-US"/>
              </w:rPr>
              <w:t>6</w:t>
            </w:r>
            <w:r w:rsidRPr="00CF6D97">
              <w:rPr>
                <w:rFonts w:ascii="Arial Narrow" w:eastAsia="Arial" w:hAnsi="Arial Narrow" w:cs="Arial"/>
                <w:color w:val="1A1A1A"/>
                <w:sz w:val="24"/>
                <w:szCs w:val="24"/>
              </w:rPr>
              <w:t xml:space="preserve"> mois</w:t>
            </w:r>
          </w:p>
        </w:tc>
      </w:tr>
      <w:tr w:rsidR="00AF484A" w:rsidRPr="00CF6D97" w14:paraId="1D601A72" w14:textId="77777777">
        <w:tc>
          <w:tcPr>
            <w:tcW w:w="24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15F612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Phase 3 — Normalisation, gouvernance et transfert</w:t>
            </w:r>
          </w:p>
        </w:tc>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D9C665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Cadre de gestion des protocoles et versioning. Dossier CONOBAFI. Protection de la propriété intellectuelle. Formation et transfert de compétences. Mise à jour du cadre d'homologation.</w:t>
            </w:r>
          </w:p>
        </w:tc>
        <w:tc>
          <w:tcPr>
            <w:tcW w:w="26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706257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3 à 4 mois</w:t>
            </w:r>
          </w:p>
        </w:tc>
      </w:tr>
    </w:tbl>
    <w:p w14:paraId="64BBBD15" w14:textId="77777777" w:rsidR="00AF484A" w:rsidRPr="00CF6D97" w:rsidRDefault="00AF484A">
      <w:pPr>
        <w:jc w:val="both"/>
        <w:rPr>
          <w:rFonts w:ascii="Arial Narrow" w:hAnsi="Arial Narrow" w:cs="Arial"/>
        </w:rPr>
      </w:pPr>
    </w:p>
    <w:tbl>
      <w:tblPr>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33"/>
      </w:tblGrid>
      <w:tr w:rsidR="00AF484A" w:rsidRPr="00CF6D97" w14:paraId="68C3DE22" w14:textId="77777777">
        <w:tc>
          <w:tcPr>
            <w:tcW w:w="10933" w:type="dxa"/>
            <w:tcBorders>
              <w:top w:val="single" w:sz="0" w:space="0" w:color="C8972B"/>
              <w:left w:val="single" w:sz="0" w:space="0" w:color="C8972B"/>
              <w:bottom w:val="single" w:sz="0" w:space="0" w:color="C8972B"/>
              <w:right w:val="single" w:sz="0" w:space="0" w:color="C8972B"/>
            </w:tcBorders>
            <w:shd w:val="clear" w:color="auto" w:fill="FDF3DC"/>
            <w:tcMar>
              <w:top w:w="100" w:type="dxa"/>
              <w:left w:w="160" w:type="dxa"/>
              <w:bottom w:w="100" w:type="dxa"/>
              <w:right w:w="160" w:type="dxa"/>
            </w:tcMar>
          </w:tcPr>
          <w:p w14:paraId="4FD5D114"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i/>
                <w:iCs/>
                <w:color w:val="003087"/>
                <w:sz w:val="24"/>
                <w:szCs w:val="24"/>
              </w:rPr>
              <w:t>Jalon de qualité obligatoire : à l'issue de la Phase 1, le consultant devra soumettre un rapport d'état des lieux et un schéma d'architecture fonctionnelle cible pour validation formelle par le GIM-UEMOA avant le démarrage de la Phase 2. La Phase 2 ne peut débuter sans validation écrite du GIM-UEMOA.</w:t>
            </w:r>
          </w:p>
        </w:tc>
      </w:tr>
    </w:tbl>
    <w:p w14:paraId="60D623FA" w14:textId="77777777" w:rsidR="00AF484A" w:rsidRPr="00CF6D97" w:rsidRDefault="00AF484A">
      <w:pPr>
        <w:jc w:val="both"/>
        <w:rPr>
          <w:rFonts w:ascii="Arial Narrow" w:hAnsi="Arial Narrow" w:cs="Arial"/>
        </w:rPr>
      </w:pPr>
    </w:p>
    <w:p w14:paraId="040DBEFD"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210D420D"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1401A5CC"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t xml:space="preserve">LIVRABLES ATTENDUS </w:t>
            </w:r>
          </w:p>
        </w:tc>
      </w:tr>
    </w:tbl>
    <w:p w14:paraId="5313CFFF" w14:textId="77777777" w:rsidR="00AF484A" w:rsidRPr="00CF6D97" w:rsidRDefault="00AF484A">
      <w:pPr>
        <w:pStyle w:val="Default"/>
        <w:jc w:val="both"/>
        <w:rPr>
          <w:rFonts w:ascii="Arial Narrow" w:hAnsi="Arial Narrow"/>
          <w:color w:val="auto"/>
          <w:szCs w:val="22"/>
        </w:rPr>
      </w:pPr>
    </w:p>
    <w:p w14:paraId="26560589"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Dans le cadre de son intervention, le consultant retenu devra livrer au GIM-UEMOA les documents suivants :</w:t>
      </w:r>
    </w:p>
    <w:p w14:paraId="0A47939F" w14:textId="77777777" w:rsidR="00AF484A" w:rsidRPr="00CF6D97" w:rsidRDefault="00AF484A">
      <w:pPr>
        <w:spacing w:after="80"/>
      </w:pPr>
    </w:p>
    <w:tbl>
      <w:tblPr>
        <w:tblW w:w="10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893"/>
      </w:tblGrid>
      <w:tr w:rsidR="00AF484A" w:rsidRPr="00CF6D97" w14:paraId="6DFC550F" w14:textId="77777777">
        <w:tc>
          <w:tcPr>
            <w:tcW w:w="300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6FAFAF15"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FFFFFF"/>
                <w:sz w:val="24"/>
                <w:szCs w:val="24"/>
              </w:rPr>
              <w:t>Livrable</w:t>
            </w:r>
          </w:p>
        </w:tc>
        <w:tc>
          <w:tcPr>
            <w:tcW w:w="7893"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74D988F7"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FFFFFF"/>
                <w:sz w:val="24"/>
                <w:szCs w:val="24"/>
              </w:rPr>
              <w:t>Description</w:t>
            </w:r>
          </w:p>
        </w:tc>
      </w:tr>
      <w:tr w:rsidR="00AF484A" w:rsidRPr="00CF6D97" w14:paraId="03A58CF0"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B3B847A"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 — Plan projet</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BF7DC7A"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Méthodologie détaillée, planning, rôles et responsabilités. Pour chaque phase : objectifs, prérequis, contraintes, modalités et durée.</w:t>
            </w:r>
          </w:p>
        </w:tc>
      </w:tr>
      <w:tr w:rsidR="00AF484A" w:rsidRPr="00CF6D97" w14:paraId="7EC9ED48"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FA2EE1B"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L2 — Rapport d'état des lieux (protocoles)</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11A969C"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Architectures, protocoles et spécifications existants en matière de paiement marchand (POS, VPOS, QR Code, etc.).</w:t>
            </w:r>
          </w:p>
        </w:tc>
      </w:tr>
      <w:tr w:rsidR="00AF484A" w:rsidRPr="00CF6D97" w14:paraId="197631D4"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1048705"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L3 — Rapport d'état des lieux (backoffice)</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145EA96"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Processus, solutions et outils backoffice existants, interfaces, architectures et protocoles d'échanges avec les plateformes internes et les systèmes des acteurs externes.</w:t>
            </w:r>
          </w:p>
        </w:tc>
      </w:tr>
      <w:tr w:rsidR="00AF484A" w:rsidRPr="00CF6D97" w14:paraId="5EFC9D15"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26C2F2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lastRenderedPageBreak/>
              <w:t>L4 — Spécifications du Backoffice Monétique Unifié</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8488382"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techniques et fonctionnelles détaillées du backoffice monétique et de ses interfaces internes et externes.</w:t>
            </w:r>
          </w:p>
        </w:tc>
      </w:tr>
      <w:tr w:rsidR="00AF484A" w:rsidRPr="00CF6D97" w14:paraId="2F091856"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684B072"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L5 — Spécifications du Module d'Autorisation Unifié</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96B97E6"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techniques et fonctionnelles détaillées du module d'autorisation et de ses interfaces.</w:t>
            </w:r>
          </w:p>
        </w:tc>
      </w:tr>
      <w:tr w:rsidR="00AF484A" w:rsidRPr="00CF6D97" w14:paraId="489957ED"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1F027AB"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L6 — Spécifications Mobile Money sur rail carte</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CEE828E"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d'émission et d'acceptation du Mobile Money suivant le rail de la carte bancaire.</w:t>
            </w:r>
          </w:p>
        </w:tc>
      </w:tr>
      <w:tr w:rsidR="00AF484A" w:rsidRPr="00CF6D97" w14:paraId="5CC28C37"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6D9DE7C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L7 — Spécifications d</w:t>
            </w:r>
            <w:r w:rsidRPr="00CF6D97">
              <w:rPr>
                <w:rFonts w:ascii="Arial Narrow" w:eastAsia="Arial" w:hAnsi="Arial Narrow" w:cs="Arial"/>
                <w:b/>
                <w:bCs/>
                <w:color w:val="1A1A1A"/>
                <w:sz w:val="24"/>
                <w:szCs w:val="24"/>
                <w:lang w:val="en-US"/>
              </w:rPr>
              <w:t xml:space="preserve">u RIPT </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4BB7E24"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Architecture technique complète du Référentiel d'Identité et de Profils Transactionnels : modèle de données, moteur de résolution d'alias, protocoles de création/gestion/révocation, interfaces avec le socle CPACE et les autres composants, règles de sécurité et de contrôle d'accès.</w:t>
            </w:r>
          </w:p>
        </w:tc>
      </w:tr>
      <w:tr w:rsidR="00AF484A" w:rsidRPr="00CF6D97" w14:paraId="7964911A"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AB1FFD5"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L8 — Spécifications du Noyau Applicatif</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894F169"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techniques et fonctionnelles détaillées du noyau applicatif de paiement régional et de ses interfaces.</w:t>
            </w:r>
          </w:p>
        </w:tc>
      </w:tr>
      <w:tr w:rsidR="00AF484A" w:rsidRPr="00CF6D97" w14:paraId="2AB2D299"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F3D0C4C"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L9 — Spécifications socle CPACE — Profil GIM-UEMOA</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2F0D6EF"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de customisation du socle CPACE pour le profil GIM-UEMOA, couvrant l'ensemble des domaines définis à la section 3.1.2, y compris les interfaces avec le RIPT.</w:t>
            </w:r>
          </w:p>
        </w:tc>
      </w:tr>
      <w:tr w:rsidR="00AF484A" w:rsidRPr="00CF6D97" w14:paraId="6C209A27"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1074DDD"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L10 — Architecture multi-verticales</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3AA75C1" w14:textId="2F80227D"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 xml:space="preserve">Architecture d'intégration et cadre d'interopérabilité entre la verticale Paiement et les verticales Transport, Énergie, Aérien </w:t>
            </w:r>
            <w:r w:rsidR="00FB7CF9" w:rsidRPr="00CF6D97">
              <w:rPr>
                <w:rFonts w:ascii="Arial Narrow" w:eastAsia="Arial" w:hAnsi="Arial Narrow" w:cs="Arial"/>
                <w:color w:val="1A1A1A"/>
                <w:sz w:val="24"/>
                <w:szCs w:val="24"/>
              </w:rPr>
              <w:t xml:space="preserve">Services Gouvernementaux </w:t>
            </w:r>
            <w:r w:rsidRPr="00CF6D97">
              <w:rPr>
                <w:rFonts w:ascii="Arial Narrow" w:eastAsia="Arial" w:hAnsi="Arial Narrow" w:cs="Arial"/>
                <w:color w:val="1A1A1A"/>
                <w:sz w:val="24"/>
                <w:szCs w:val="24"/>
              </w:rPr>
              <w:t xml:space="preserve">et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w:t>
            </w:r>
          </w:p>
        </w:tc>
      </w:tr>
      <w:tr w:rsidR="00AF484A" w:rsidRPr="00CF6D97" w14:paraId="7BC27867" w14:textId="77777777" w:rsidTr="008265EC">
        <w:trPr>
          <w:trHeight w:val="489"/>
        </w:trPr>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4618156"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L11 — Spécifications du TMS Régional</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013832E"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Spécifications techniques et fonctionnelles détaillées du TMS régional et de ses interfaces.</w:t>
            </w:r>
          </w:p>
        </w:tc>
      </w:tr>
      <w:tr w:rsidR="00AF484A" w:rsidRPr="00CF6D97" w14:paraId="0BB196AA" w14:textId="77777777" w:rsidTr="008265EC">
        <w:trPr>
          <w:trHeight w:val="615"/>
        </w:trPr>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435E82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L12 — Protocoles et spécifications ISO 20022 et APIs</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FEB3035"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Versions customisées des protocoles et spécifications ISO 20022 et APIs, couvrant l'ensemble des domaines, types de flux, instruments et canaux.</w:t>
            </w:r>
          </w:p>
        </w:tc>
      </w:tr>
      <w:tr w:rsidR="00AF484A" w:rsidRPr="00CF6D97" w14:paraId="5F9D2205"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21B46A2"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 xml:space="preserve">L13 — Modèle de </w:t>
            </w:r>
            <w:proofErr w:type="spellStart"/>
            <w:r w:rsidRPr="00CF6D97">
              <w:rPr>
                <w:rFonts w:ascii="Arial Narrow" w:eastAsia="Arial" w:hAnsi="Arial Narrow" w:cs="Arial"/>
                <w:b/>
                <w:bCs/>
                <w:color w:val="1A1A1A"/>
                <w:sz w:val="24"/>
                <w:szCs w:val="24"/>
              </w:rPr>
              <w:t>licensing</w:t>
            </w:r>
            <w:proofErr w:type="spellEnd"/>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3482514"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 xml:space="preserve">Adaptation et complétion du modèle économique du schéma de paiement, incluant la structure de </w:t>
            </w:r>
            <w:proofErr w:type="spellStart"/>
            <w:r w:rsidRPr="00CF6D97">
              <w:rPr>
                <w:rFonts w:ascii="Arial Narrow" w:eastAsia="Arial" w:hAnsi="Arial Narrow" w:cs="Arial"/>
                <w:color w:val="1A1A1A"/>
                <w:sz w:val="24"/>
                <w:szCs w:val="24"/>
              </w:rPr>
              <w:t>licensing</w:t>
            </w:r>
            <w:proofErr w:type="spellEnd"/>
            <w:r w:rsidRPr="00CF6D97">
              <w:rPr>
                <w:rFonts w:ascii="Arial Narrow" w:eastAsia="Arial" w:hAnsi="Arial Narrow" w:cs="Arial"/>
                <w:color w:val="1A1A1A"/>
                <w:sz w:val="24"/>
                <w:szCs w:val="24"/>
              </w:rPr>
              <w:t xml:space="preserve"> par catégorie de participant.</w:t>
            </w:r>
          </w:p>
        </w:tc>
      </w:tr>
      <w:tr w:rsidR="00AF484A" w:rsidRPr="00CF6D97" w14:paraId="63E304BC"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74A1A16"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L14 — Corpus réglementaire révisé</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987121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Extension du corpus réglementaire intrarégional et du cadre d'acceptation réciproque, couvrant les neuf dimensions définies à la section 3.1.4.</w:t>
            </w:r>
          </w:p>
        </w:tc>
      </w:tr>
      <w:tr w:rsidR="00AF484A" w:rsidRPr="00CF6D97" w14:paraId="61BD71EA"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010A40D1"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L15 — Cadre de gestion des protocoles</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55804B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 xml:space="preserve">Outils et processus pour le </w:t>
            </w:r>
            <w:proofErr w:type="spellStart"/>
            <w:r w:rsidRPr="00CF6D97">
              <w:rPr>
                <w:rFonts w:ascii="Arial Narrow" w:eastAsia="Arial" w:hAnsi="Arial Narrow" w:cs="Arial"/>
                <w:color w:val="1A1A1A"/>
                <w:sz w:val="24"/>
                <w:szCs w:val="24"/>
              </w:rPr>
              <w:t>versionning</w:t>
            </w:r>
            <w:proofErr w:type="spellEnd"/>
            <w:r w:rsidRPr="00CF6D97">
              <w:rPr>
                <w:rFonts w:ascii="Arial Narrow" w:eastAsia="Arial" w:hAnsi="Arial Narrow" w:cs="Arial"/>
                <w:color w:val="1A1A1A"/>
                <w:sz w:val="24"/>
                <w:szCs w:val="24"/>
              </w:rPr>
              <w:t>, la maintenance, les évolutions et la publication des protocoles et spécifications.</w:t>
            </w:r>
          </w:p>
        </w:tc>
      </w:tr>
      <w:tr w:rsidR="00AF484A" w:rsidRPr="00CF6D97" w14:paraId="282805EB"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7F8CC23" w14:textId="77777777" w:rsidR="00AF484A" w:rsidRPr="00CF6D97" w:rsidRDefault="00281350">
            <w:pPr>
              <w:spacing w:before="60" w:after="60"/>
              <w:rPr>
                <w:rFonts w:ascii="Arial Narrow" w:eastAsia="Arial" w:hAnsi="Arial Narrow" w:cs="Arial"/>
                <w:b/>
                <w:bCs/>
                <w:color w:val="1A1A1A"/>
                <w:sz w:val="24"/>
                <w:szCs w:val="24"/>
              </w:rPr>
            </w:pPr>
            <w:r w:rsidRPr="00CF6D97">
              <w:rPr>
                <w:rFonts w:ascii="Arial Narrow" w:eastAsia="Arial" w:hAnsi="Arial Narrow" w:cs="Arial"/>
                <w:b/>
                <w:bCs/>
                <w:color w:val="1A1A1A"/>
                <w:sz w:val="24"/>
                <w:szCs w:val="24"/>
              </w:rPr>
              <w:lastRenderedPageBreak/>
              <w:t>L16 — Dossier adhésion ECPC</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52AA7FD" w14:textId="77777777" w:rsidR="00AF484A" w:rsidRPr="00CF6D97" w:rsidRDefault="00281350">
            <w:pPr>
              <w:spacing w:before="6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Dossier complet de la démarche d'adhésion à l'ECPC : analyse du cadre statutaire, dossier de candidature, compte-rendu des négociations, acte d'adhésion, définition de la contribution du GIM-UEMOA aux travaux ECPC, présélection des partenaires techniques certifiés</w:t>
            </w:r>
          </w:p>
        </w:tc>
      </w:tr>
      <w:tr w:rsidR="00AF484A" w:rsidRPr="00CF6D97" w14:paraId="6321D9FA"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F549BFC"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L17 — Dossier de montée en compétences</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FD76AAB"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Plan de transfert de connaissances validé, supports de formation, guides d'utilisation, rapport de clôture.</w:t>
            </w:r>
          </w:p>
        </w:tc>
      </w:tr>
      <w:tr w:rsidR="00AF484A" w:rsidRPr="00CF6D97" w14:paraId="5733856E"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AF798E9"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L18 — Dossier de normalisation CONOBAFI</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B6D7F2E"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Dossier de normalisation des protocoles et spécifications auprès du CONOBAFI.</w:t>
            </w:r>
          </w:p>
        </w:tc>
      </w:tr>
      <w:tr w:rsidR="00AF484A" w:rsidRPr="00CF6D97" w14:paraId="128C230D"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3D130B72"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L19 — Dossier de mise à jour du cadre d'homologation</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DB3E5C8"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Cadre méthodologique révisé de gestion des homologations et certifications.</w:t>
            </w:r>
          </w:p>
        </w:tc>
      </w:tr>
      <w:tr w:rsidR="00AF484A" w:rsidRPr="00CF6D97" w14:paraId="7485EB9B"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21384DB"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L20 — Dossier de propriété intellectuelle</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D972B94"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Dossier de protection des protocoles et spécifications au titre de la propriété intellectuelle.</w:t>
            </w:r>
          </w:p>
        </w:tc>
      </w:tr>
      <w:tr w:rsidR="00AF484A" w:rsidRPr="00CF6D97" w14:paraId="3890A873" w14:textId="77777777">
        <w:tc>
          <w:tcPr>
            <w:tcW w:w="3000"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3115802"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b/>
                <w:bCs/>
                <w:color w:val="1A1A1A"/>
                <w:sz w:val="24"/>
                <w:szCs w:val="24"/>
              </w:rPr>
              <w:t>L2</w:t>
            </w:r>
            <w:r w:rsidRPr="00CF6D97">
              <w:rPr>
                <w:rFonts w:ascii="Arial Narrow" w:eastAsia="Arial" w:hAnsi="Arial Narrow" w:cs="Arial"/>
                <w:b/>
                <w:bCs/>
                <w:color w:val="1A1A1A"/>
                <w:sz w:val="24"/>
                <w:szCs w:val="24"/>
                <w:lang w:val="en-US"/>
              </w:rPr>
              <w:t>1</w:t>
            </w:r>
            <w:r w:rsidRPr="00CF6D97">
              <w:rPr>
                <w:rFonts w:ascii="Arial Narrow" w:eastAsia="Arial" w:hAnsi="Arial Narrow" w:cs="Arial"/>
                <w:b/>
                <w:bCs/>
                <w:color w:val="1A1A1A"/>
                <w:sz w:val="24"/>
                <w:szCs w:val="24"/>
              </w:rPr>
              <w:t xml:space="preserve"> — Rapports périodiques d'avancement</w:t>
            </w:r>
          </w:p>
        </w:tc>
        <w:tc>
          <w:tcPr>
            <w:tcW w:w="7893"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6DAFA97" w14:textId="77777777" w:rsidR="00AF484A" w:rsidRPr="00CF6D97" w:rsidRDefault="00281350">
            <w:pPr>
              <w:spacing w:before="60" w:after="60"/>
              <w:rPr>
                <w:rFonts w:ascii="Arial Narrow" w:hAnsi="Arial Narrow" w:cs="Arial"/>
                <w:sz w:val="24"/>
                <w:szCs w:val="24"/>
              </w:rPr>
            </w:pPr>
            <w:r w:rsidRPr="00CF6D97">
              <w:rPr>
                <w:rFonts w:ascii="Arial Narrow" w:eastAsia="Arial" w:hAnsi="Arial Narrow" w:cs="Arial"/>
                <w:color w:val="1A1A1A"/>
                <w:sz w:val="24"/>
                <w:szCs w:val="24"/>
              </w:rPr>
              <w:t>Rapports périodiques de suivi par rapport aux objectifs et au planning convenu.</w:t>
            </w:r>
          </w:p>
        </w:tc>
      </w:tr>
    </w:tbl>
    <w:p w14:paraId="3C35CCA9" w14:textId="77777777" w:rsidR="00AF484A" w:rsidRPr="00CF6D97" w:rsidRDefault="00AF484A">
      <w:pPr>
        <w:spacing w:after="80"/>
      </w:pPr>
    </w:p>
    <w:p w14:paraId="27F285C4"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74FC2935"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2F7F0C95"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t xml:space="preserve">PROFIL DU SOUMISSIONNAIRE </w:t>
            </w:r>
          </w:p>
        </w:tc>
      </w:tr>
    </w:tbl>
    <w:p w14:paraId="79764329" w14:textId="77777777" w:rsidR="00AF484A" w:rsidRPr="00CF6D97" w:rsidRDefault="00AF484A">
      <w:pPr>
        <w:pStyle w:val="Default"/>
        <w:jc w:val="both"/>
        <w:rPr>
          <w:rFonts w:ascii="Arial Narrow" w:hAnsi="Arial Narrow"/>
          <w:color w:val="auto"/>
          <w:szCs w:val="22"/>
        </w:rPr>
      </w:pPr>
    </w:p>
    <w:p w14:paraId="4BDB6DB3"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Pour la présente consultation, il est fait appel à des soumissionnaires spécialisés dans le domaine des paiements et de la monétique. Le soumissionnaire doit justifier d'une expertise avérée dans les domaines suivants :</w:t>
      </w:r>
    </w:p>
    <w:p w14:paraId="362D3DE8" w14:textId="77777777" w:rsidR="00AF484A" w:rsidRPr="00CF6D97" w:rsidRDefault="00AF484A">
      <w:pPr>
        <w:autoSpaceDE w:val="0"/>
        <w:autoSpaceDN w:val="0"/>
        <w:adjustRightInd w:val="0"/>
        <w:spacing w:after="0"/>
        <w:jc w:val="both"/>
        <w:rPr>
          <w:rFonts w:ascii="Arial Narrow" w:hAnsi="Arial Narrow"/>
          <w:sz w:val="24"/>
          <w:szCs w:val="24"/>
        </w:rPr>
      </w:pPr>
    </w:p>
    <w:p w14:paraId="65F72766"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Systèmes de paiement et monétique interbancaire ;</w:t>
      </w:r>
    </w:p>
    <w:p w14:paraId="10FA21C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Architecture de systèmes d'échange (ISO 8583, ISO 20022, APIs) ;</w:t>
      </w:r>
    </w:p>
    <w:p w14:paraId="6CB4D991"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Standards d'acceptation et d'acquisition (Nexo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 xml:space="preserve">, </w:t>
      </w:r>
      <w:proofErr w:type="spellStart"/>
      <w:r w:rsidRPr="00CF6D97">
        <w:rPr>
          <w:rFonts w:ascii="Arial Narrow" w:eastAsia="Arial" w:hAnsi="Arial Narrow" w:cs="Arial"/>
          <w:color w:val="1A1A1A"/>
          <w:sz w:val="24"/>
          <w:szCs w:val="24"/>
        </w:rPr>
        <w:t>EMVCo</w:t>
      </w:r>
      <w:proofErr w:type="spellEnd"/>
      <w:r w:rsidRPr="00CF6D97">
        <w:rPr>
          <w:rFonts w:ascii="Arial Narrow" w:eastAsia="Arial" w:hAnsi="Arial Narrow" w:cs="Arial"/>
          <w:color w:val="1A1A1A"/>
          <w:sz w:val="24"/>
          <w:szCs w:val="24"/>
        </w:rPr>
        <w:t>, PCI DSS) ;</w:t>
      </w:r>
    </w:p>
    <w:p w14:paraId="0E85D7F6" w14:textId="77777777" w:rsidR="00AF484A" w:rsidRPr="00CF6D97" w:rsidRDefault="00281350">
      <w:pPr>
        <w:pStyle w:val="Paragraphedeliste"/>
        <w:numPr>
          <w:ilvl w:val="0"/>
          <w:numId w:val="12"/>
        </w:numPr>
        <w:spacing w:before="4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Applications de paiement (CPA, CPACE ou équivalents) et architecture des kernels de paiement ;</w:t>
      </w:r>
    </w:p>
    <w:p w14:paraId="150BB95C" w14:textId="77777777" w:rsidR="00AF484A" w:rsidRPr="00CF6D97" w:rsidRDefault="00281350">
      <w:pPr>
        <w:pStyle w:val="Paragraphedeliste"/>
        <w:numPr>
          <w:ilvl w:val="0"/>
          <w:numId w:val="12"/>
        </w:numPr>
        <w:spacing w:before="40" w:after="60"/>
        <w:rPr>
          <w:rFonts w:ascii="Arial Narrow" w:eastAsia="Arial" w:hAnsi="Arial Narrow" w:cs="Arial"/>
          <w:color w:val="1A1A1A"/>
          <w:sz w:val="24"/>
          <w:szCs w:val="24"/>
        </w:rPr>
      </w:pPr>
      <w:r w:rsidRPr="00CF6D97">
        <w:rPr>
          <w:rFonts w:ascii="Arial Narrow" w:eastAsia="Arial" w:hAnsi="Arial Narrow" w:cs="Arial"/>
          <w:color w:val="1A1A1A"/>
          <w:sz w:val="24"/>
          <w:szCs w:val="24"/>
        </w:rPr>
        <w:t>Systèmes d'identité de paiement, gestion d'alias et profils transactionnels multi-instruments ;</w:t>
      </w:r>
    </w:p>
    <w:p w14:paraId="08D62967" w14:textId="77777777" w:rsidR="00AF484A" w:rsidRPr="00CF6D97" w:rsidRDefault="00281350">
      <w:pPr>
        <w:pStyle w:val="Paragraphedeliste"/>
        <w:numPr>
          <w:ilvl w:val="0"/>
          <w:numId w:val="12"/>
        </w:numPr>
        <w:spacing w:before="40" w:after="60"/>
        <w:rPr>
          <w:rFonts w:ascii="Arial Narrow" w:hAnsi="Arial Narrow"/>
          <w:sz w:val="24"/>
          <w:szCs w:val="24"/>
        </w:rPr>
      </w:pPr>
      <w:r w:rsidRPr="00CF6D97">
        <w:rPr>
          <w:rFonts w:ascii="Arial Narrow" w:eastAsia="Arial" w:hAnsi="Arial Narrow" w:cs="Arial"/>
          <w:color w:val="1A1A1A"/>
          <w:sz w:val="24"/>
          <w:szCs w:val="24"/>
        </w:rPr>
        <w:t>Systèmes de tokenisation ;</w:t>
      </w:r>
    </w:p>
    <w:p w14:paraId="5221DFDC"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Terminal Management </w:t>
      </w:r>
      <w:proofErr w:type="spellStart"/>
      <w:r w:rsidRPr="00CF6D97">
        <w:rPr>
          <w:rFonts w:ascii="Arial Narrow" w:eastAsia="Arial" w:hAnsi="Arial Narrow" w:cs="Arial"/>
          <w:color w:val="1A1A1A"/>
          <w:sz w:val="24"/>
          <w:szCs w:val="24"/>
        </w:rPr>
        <w:t>Systems</w:t>
      </w:r>
      <w:proofErr w:type="spellEnd"/>
      <w:r w:rsidRPr="00CF6D97">
        <w:rPr>
          <w:rFonts w:ascii="Arial Narrow" w:eastAsia="Arial" w:hAnsi="Arial Narrow" w:cs="Arial"/>
          <w:color w:val="1A1A1A"/>
          <w:sz w:val="24"/>
          <w:szCs w:val="24"/>
        </w:rPr>
        <w:t xml:space="preserve"> ;</w:t>
      </w:r>
    </w:p>
    <w:p w14:paraId="497D87B8"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Mobile Money et interopérabilité multi-instruments ;</w:t>
      </w:r>
    </w:p>
    <w:p w14:paraId="60D5D27B"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Gouvernance de schémas de paiement domestiques ou régionaux ;</w:t>
      </w:r>
    </w:p>
    <w:p w14:paraId="02FA9470" w14:textId="77777777" w:rsidR="00AF484A" w:rsidRPr="00CF6D97" w:rsidRDefault="00281350">
      <w:pPr>
        <w:pStyle w:val="Paragraphedeliste"/>
        <w:numPr>
          <w:ilvl w:val="0"/>
          <w:numId w:val="10"/>
        </w:numPr>
        <w:spacing w:before="40" w:after="60" w:line="240" w:lineRule="auto"/>
        <w:rPr>
          <w:rFonts w:ascii="Arial Narrow" w:eastAsia="Arial" w:hAnsi="Arial Narrow" w:cs="Arial"/>
          <w:color w:val="1A1A1A"/>
          <w:sz w:val="24"/>
          <w:szCs w:val="24"/>
        </w:rPr>
      </w:pPr>
      <w:r w:rsidRPr="00CF6D97">
        <w:rPr>
          <w:rFonts w:ascii="Arial Narrow" w:eastAsia="Arial" w:hAnsi="Arial Narrow" w:cs="Arial"/>
          <w:color w:val="1A1A1A"/>
          <w:sz w:val="24"/>
          <w:szCs w:val="24"/>
        </w:rPr>
        <w:t xml:space="preserve">Relations avec des organismes de standardisation de paiement (ECPC, Nexo, </w:t>
      </w:r>
      <w:proofErr w:type="spellStart"/>
      <w:r w:rsidRPr="00CF6D97">
        <w:rPr>
          <w:rFonts w:ascii="Arial Narrow" w:eastAsia="Arial" w:hAnsi="Arial Narrow" w:cs="Arial"/>
          <w:color w:val="1A1A1A"/>
          <w:sz w:val="24"/>
          <w:szCs w:val="24"/>
        </w:rPr>
        <w:t>EMVCo</w:t>
      </w:r>
      <w:proofErr w:type="spellEnd"/>
      <w:r w:rsidRPr="00CF6D97">
        <w:rPr>
          <w:rFonts w:ascii="Arial Narrow" w:eastAsia="Arial" w:hAnsi="Arial Narrow" w:cs="Arial"/>
          <w:color w:val="1A1A1A"/>
          <w:sz w:val="24"/>
          <w:szCs w:val="24"/>
        </w:rPr>
        <w:t>, ISO, …</w:t>
      </w:r>
      <w:proofErr w:type="gramStart"/>
      <w:r w:rsidRPr="00CF6D97">
        <w:rPr>
          <w:rFonts w:ascii="Arial Narrow" w:eastAsia="Arial" w:hAnsi="Arial Narrow" w:cs="Arial"/>
          <w:color w:val="1A1A1A"/>
          <w:sz w:val="24"/>
          <w:szCs w:val="24"/>
        </w:rPr>
        <w:t>);</w:t>
      </w:r>
      <w:proofErr w:type="gramEnd"/>
    </w:p>
    <w:p w14:paraId="04558EB2" w14:textId="02C3248E"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 xml:space="preserve">Verticales sectorielles : Transport (billettique NFC), Énergie (prépaiement), Aérien, </w:t>
      </w:r>
      <w:r w:rsidR="00FB7CF9" w:rsidRPr="00CF6D97">
        <w:rPr>
          <w:rFonts w:ascii="Arial Narrow" w:eastAsia="Arial" w:hAnsi="Arial Narrow" w:cs="Arial"/>
          <w:color w:val="1A1A1A"/>
          <w:sz w:val="24"/>
          <w:szCs w:val="24"/>
        </w:rPr>
        <w:t xml:space="preserve">Services Gouvernementaux, </w:t>
      </w:r>
      <w:proofErr w:type="spellStart"/>
      <w:r w:rsidRPr="00CF6D97">
        <w:rPr>
          <w:rFonts w:ascii="Arial Narrow" w:eastAsia="Arial" w:hAnsi="Arial Narrow" w:cs="Arial"/>
          <w:color w:val="1A1A1A"/>
          <w:sz w:val="24"/>
          <w:szCs w:val="24"/>
        </w:rPr>
        <w:t>Retailer</w:t>
      </w:r>
      <w:proofErr w:type="spellEnd"/>
      <w:r w:rsidRPr="00CF6D97">
        <w:rPr>
          <w:rFonts w:ascii="Arial Narrow" w:eastAsia="Arial" w:hAnsi="Arial Narrow" w:cs="Arial"/>
          <w:color w:val="1A1A1A"/>
          <w:sz w:val="24"/>
          <w:szCs w:val="24"/>
        </w:rPr>
        <w:t>.</w:t>
      </w:r>
    </w:p>
    <w:p w14:paraId="7BBD5EDB" w14:textId="77777777" w:rsidR="00AF484A" w:rsidRPr="00CF6D97" w:rsidRDefault="00AF484A">
      <w:pPr>
        <w:autoSpaceDE w:val="0"/>
        <w:autoSpaceDN w:val="0"/>
        <w:adjustRightInd w:val="0"/>
        <w:spacing w:after="0"/>
        <w:jc w:val="both"/>
        <w:rPr>
          <w:rFonts w:ascii="Arial Narrow" w:hAnsi="Arial Narrow"/>
          <w:sz w:val="24"/>
          <w:szCs w:val="24"/>
        </w:rPr>
      </w:pPr>
    </w:p>
    <w:p w14:paraId="630EB899"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lastRenderedPageBreak/>
        <w:t xml:space="preserve">Le soumissionnaire doit justifier d'une ou plusieurs expériences dans la zone UEMOA ou, idéalement, de projets menés avec le GIM-UEMOA. </w:t>
      </w:r>
    </w:p>
    <w:p w14:paraId="738BEC55" w14:textId="77777777" w:rsidR="00AF484A" w:rsidRPr="00CF6D97" w:rsidRDefault="00AF484A">
      <w:pPr>
        <w:autoSpaceDE w:val="0"/>
        <w:autoSpaceDN w:val="0"/>
        <w:adjustRightInd w:val="0"/>
        <w:spacing w:after="0"/>
        <w:jc w:val="both"/>
        <w:rPr>
          <w:rFonts w:ascii="Arial Narrow" w:hAnsi="Arial Narrow"/>
          <w:sz w:val="24"/>
          <w:szCs w:val="24"/>
        </w:rPr>
      </w:pPr>
    </w:p>
    <w:p w14:paraId="7FE77566"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Les soumissionnaires peuvent se présenter sous la forme de consortium ou groupement solidaire regroupant les compétences requises pour l'ensemble des missions.</w:t>
      </w:r>
    </w:p>
    <w:p w14:paraId="45AE0C4F" w14:textId="77777777" w:rsidR="00AF484A" w:rsidRPr="00CF6D97" w:rsidRDefault="00AF484A">
      <w:pPr>
        <w:autoSpaceDE w:val="0"/>
        <w:autoSpaceDN w:val="0"/>
        <w:adjustRightInd w:val="0"/>
        <w:spacing w:after="0"/>
        <w:jc w:val="both"/>
        <w:rPr>
          <w:rFonts w:ascii="Arial Narrow" w:hAnsi="Arial Narrow"/>
          <w:sz w:val="24"/>
          <w:szCs w:val="24"/>
        </w:rPr>
      </w:pPr>
    </w:p>
    <w:tbl>
      <w:tblPr>
        <w:tblW w:w="1091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15"/>
      </w:tblGrid>
      <w:tr w:rsidR="00AF484A" w:rsidRPr="00CF6D97" w14:paraId="0047B63A" w14:textId="77777777">
        <w:trPr>
          <w:trHeight w:val="1092"/>
        </w:trPr>
        <w:tc>
          <w:tcPr>
            <w:tcW w:w="10915" w:type="dxa"/>
            <w:tcBorders>
              <w:top w:val="single" w:sz="0" w:space="0" w:color="C8972B"/>
              <w:left w:val="single" w:sz="0" w:space="0" w:color="C8972B"/>
              <w:bottom w:val="single" w:sz="0" w:space="0" w:color="C8972B"/>
              <w:right w:val="single" w:sz="0" w:space="0" w:color="C8972B"/>
            </w:tcBorders>
            <w:shd w:val="clear" w:color="auto" w:fill="FDF3DC"/>
            <w:tcMar>
              <w:top w:w="100" w:type="dxa"/>
              <w:left w:w="160" w:type="dxa"/>
              <w:bottom w:w="100" w:type="dxa"/>
              <w:right w:w="160" w:type="dxa"/>
            </w:tcMar>
          </w:tcPr>
          <w:p w14:paraId="7A2E5F57" w14:textId="77777777" w:rsidR="00AF484A" w:rsidRPr="00CF6D97" w:rsidRDefault="00281350">
            <w:pPr>
              <w:spacing w:before="60" w:after="30"/>
              <w:rPr>
                <w:rFonts w:ascii="Arial Narrow Bold" w:eastAsia="Arial" w:hAnsi="Arial Narrow Bold" w:cs="Arial Narrow Bold"/>
                <w:b/>
                <w:bCs/>
                <w:color w:val="003087"/>
                <w:sz w:val="24"/>
                <w:szCs w:val="24"/>
              </w:rPr>
            </w:pPr>
            <w:r w:rsidRPr="00CF6D97">
              <w:rPr>
                <w:rFonts w:ascii="Arial Narrow Bold" w:eastAsia="Arial" w:hAnsi="Arial Narrow Bold" w:cs="Arial Narrow Bold"/>
                <w:b/>
                <w:bCs/>
                <w:color w:val="003087"/>
                <w:sz w:val="24"/>
                <w:szCs w:val="24"/>
              </w:rPr>
              <w:t>Note sur la constitution des consortiums</w:t>
            </w:r>
          </w:p>
          <w:p w14:paraId="1684712A" w14:textId="77777777" w:rsidR="00AF484A" w:rsidRPr="00CF6D97" w:rsidRDefault="00AF484A">
            <w:pPr>
              <w:spacing w:before="60" w:after="30"/>
              <w:rPr>
                <w:rFonts w:ascii="Arial Narrow Bold" w:eastAsia="Arial" w:hAnsi="Arial Narrow Bold" w:cs="Arial Narrow Bold"/>
                <w:b/>
                <w:bCs/>
                <w:color w:val="003087"/>
                <w:sz w:val="24"/>
                <w:szCs w:val="24"/>
              </w:rPr>
            </w:pPr>
          </w:p>
          <w:p w14:paraId="1E9CF380" w14:textId="6B170259" w:rsidR="00AF484A" w:rsidRPr="00CF6D97" w:rsidRDefault="00281350" w:rsidP="0054223A">
            <w:pPr>
              <w:spacing w:before="60" w:after="60"/>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 xml:space="preserve">Compte tenu de l'étendue du périmètre multi-verticales, les soumissionnaires sont encouragés à constituer des consortiums incluant des experts spécialisés dans les verticales Transport, Énergie </w:t>
            </w:r>
            <w:r w:rsidR="00FB7CF9" w:rsidRPr="00CF6D97">
              <w:rPr>
                <w:rFonts w:ascii="Arial Narrow" w:eastAsia="Arial" w:hAnsi="Arial Narrow" w:cs="Arial"/>
                <w:i/>
                <w:iCs/>
                <w:color w:val="003087"/>
                <w:sz w:val="24"/>
                <w:szCs w:val="24"/>
              </w:rPr>
              <w:t xml:space="preserve">Services Gouvernementaux </w:t>
            </w:r>
            <w:r w:rsidRPr="00CF6D97">
              <w:rPr>
                <w:rFonts w:ascii="Arial Narrow" w:eastAsia="Arial" w:hAnsi="Arial Narrow" w:cs="Arial"/>
                <w:i/>
                <w:iCs/>
                <w:color w:val="003087"/>
                <w:sz w:val="24"/>
                <w:szCs w:val="24"/>
              </w:rPr>
              <w:t>et Aérien, en complément de l'expertise paiement/monétique.</w:t>
            </w:r>
          </w:p>
          <w:p w14:paraId="1FB22B92" w14:textId="77777777" w:rsidR="00AF484A" w:rsidRPr="00CF6D97" w:rsidRDefault="00281350" w:rsidP="0054223A">
            <w:pPr>
              <w:spacing w:before="60" w:after="60"/>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 xml:space="preserve">Compte tenu de la double nature de la mission — spécification d'un standard ouvert (CPACE) et conception d'un composant propriétaire innovant (RIPT) — les soumissionnaires sont encouragés à constituer des consortiums incluant : (i) un expert des standards de paiement ECPC/CPACE, idéalement disposant d'une expérience de travail avec l'ECPC ou ses membres ; </w:t>
            </w:r>
          </w:p>
          <w:p w14:paraId="01AF6CE1" w14:textId="77777777" w:rsidR="00AF484A" w:rsidRPr="00CF6D97" w:rsidRDefault="00281350" w:rsidP="0054223A">
            <w:pPr>
              <w:spacing w:before="60" w:after="60"/>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 xml:space="preserve">(ii) un expert en architecture de systèmes d'identité et de résolution d'alias en environnement de paiement ; et </w:t>
            </w:r>
          </w:p>
          <w:p w14:paraId="74B08AD3" w14:textId="77777777" w:rsidR="00AF484A" w:rsidRPr="00CF6D97" w:rsidRDefault="00281350" w:rsidP="0054223A">
            <w:pPr>
              <w:spacing w:before="60" w:after="60"/>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(iii) des experts spécialisés dans les verticales Transport, Énergie et Aérien.</w:t>
            </w:r>
          </w:p>
          <w:p w14:paraId="45A9644A" w14:textId="77777777" w:rsidR="00AF484A" w:rsidRPr="00CF6D97" w:rsidRDefault="00AF484A">
            <w:pPr>
              <w:spacing w:before="60" w:after="60"/>
              <w:rPr>
                <w:rFonts w:ascii="Arial Narrow" w:eastAsia="Arial" w:hAnsi="Arial Narrow" w:cs="Arial"/>
                <w:i/>
                <w:iCs/>
                <w:color w:val="003087"/>
                <w:sz w:val="16"/>
                <w:szCs w:val="16"/>
              </w:rPr>
            </w:pPr>
          </w:p>
          <w:p w14:paraId="7159AF09" w14:textId="77777777" w:rsidR="0054223A" w:rsidRPr="00CF6D97" w:rsidRDefault="0054223A" w:rsidP="0054223A">
            <w:pPr>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 xml:space="preserve">Le soumissionnaire peut se présenter sous la forme de consortium regroupant les compétences requises. </w:t>
            </w:r>
          </w:p>
          <w:p w14:paraId="189CDF10" w14:textId="77777777" w:rsidR="0054223A" w:rsidRPr="00CF6D97" w:rsidRDefault="0054223A" w:rsidP="0054223A">
            <w:pPr>
              <w:jc w:val="both"/>
              <w:rPr>
                <w:rFonts w:ascii="Arial Narrow" w:eastAsia="Arial" w:hAnsi="Arial Narrow" w:cs="Arial"/>
                <w:i/>
                <w:iCs/>
                <w:color w:val="003087"/>
                <w:sz w:val="24"/>
                <w:szCs w:val="24"/>
              </w:rPr>
            </w:pPr>
            <w:r w:rsidRPr="00CF6D97">
              <w:rPr>
                <w:rFonts w:ascii="Arial Narrow" w:eastAsia="Arial" w:hAnsi="Arial Narrow" w:cs="Arial"/>
                <w:i/>
                <w:iCs/>
                <w:color w:val="003087"/>
                <w:sz w:val="24"/>
                <w:szCs w:val="24"/>
              </w:rPr>
              <w:t xml:space="preserve">Chacun des membres est engagé pour la totalité du marché. Toutefois, le consortium se fera représenter par un mandataire désigné. </w:t>
            </w:r>
          </w:p>
          <w:p w14:paraId="428A2BB8" w14:textId="24EC6F59" w:rsidR="00AF484A" w:rsidRPr="00CF6D97" w:rsidRDefault="0054223A" w:rsidP="00D152F2">
            <w:pPr>
              <w:jc w:val="both"/>
              <w:rPr>
                <w:rFonts w:ascii="Arial Narrow" w:hAnsi="Arial Narrow"/>
                <w:sz w:val="24"/>
                <w:szCs w:val="24"/>
              </w:rPr>
            </w:pPr>
            <w:r w:rsidRPr="00CF6D97">
              <w:rPr>
                <w:rFonts w:ascii="Arial Narrow" w:eastAsia="Arial" w:hAnsi="Arial Narrow" w:cs="Arial"/>
                <w:i/>
                <w:iCs/>
                <w:color w:val="003087"/>
                <w:sz w:val="24"/>
                <w:szCs w:val="24"/>
              </w:rPr>
              <w:t>L’acte de constitution du consortium, désignant ledit mandataire, doit être revêtu de toutes les signatures et joint au dossier de soumission. Les candidatures et les actes d’engagement sont signés par le mandataire. Chaque membre participant au consortium est tenu de fournir les pièces administratives requises.</w:t>
            </w:r>
            <w:r w:rsidRPr="00CF6D97">
              <w:rPr>
                <w:rFonts w:ascii="Arial Narrow" w:eastAsia="Arial Narrow" w:hAnsi="Arial Narrow" w:cs="Arial Narrow"/>
                <w:sz w:val="24"/>
                <w:szCs w:val="24"/>
              </w:rPr>
              <w:t xml:space="preserve"> </w:t>
            </w:r>
          </w:p>
        </w:tc>
      </w:tr>
    </w:tbl>
    <w:p w14:paraId="3E9BFF0A" w14:textId="77777777" w:rsidR="00AF484A" w:rsidRPr="00CF6D97" w:rsidRDefault="00AF484A">
      <w:pPr>
        <w:ind w:left="720"/>
        <w:jc w:val="both"/>
        <w:rPr>
          <w:rFonts w:ascii="Arial Narrow" w:hAnsi="Arial Narrow" w:cs="Arial"/>
          <w:b/>
          <w:color w:val="283478"/>
          <w:sz w:val="24"/>
          <w:szCs w:val="24"/>
        </w:rPr>
      </w:pPr>
    </w:p>
    <w:p w14:paraId="5F32BF39"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11024488"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6861D080" w14:textId="77777777" w:rsidR="00AF484A" w:rsidRPr="00CF6D97" w:rsidRDefault="00281350">
            <w:pPr>
              <w:numPr>
                <w:ilvl w:val="0"/>
                <w:numId w:val="3"/>
              </w:numPr>
              <w:rPr>
                <w:rFonts w:ascii="Arial Narrow" w:hAnsi="Arial Narrow" w:cs="Arial"/>
                <w:b/>
                <w:color w:val="283478"/>
                <w:sz w:val="24"/>
                <w:szCs w:val="24"/>
              </w:rPr>
            </w:pPr>
            <w:r w:rsidRPr="00CF6D97">
              <w:rPr>
                <w:rFonts w:ascii="Arial Narrow" w:hAnsi="Arial Narrow" w:cs="Arial"/>
                <w:b/>
                <w:color w:val="283478"/>
                <w:sz w:val="24"/>
                <w:szCs w:val="24"/>
              </w:rPr>
              <w:t xml:space="preserve">MODALITES DE SELECTION </w:t>
            </w:r>
          </w:p>
        </w:tc>
      </w:tr>
    </w:tbl>
    <w:p w14:paraId="265BAFFC" w14:textId="77777777" w:rsidR="00AF484A" w:rsidRPr="00CF6D97" w:rsidRDefault="00AF484A">
      <w:pPr>
        <w:ind w:left="720"/>
        <w:jc w:val="both"/>
        <w:rPr>
          <w:rFonts w:ascii="Arial Narrow" w:hAnsi="Arial Narrow" w:cs="Arial"/>
          <w:b/>
          <w:color w:val="283478"/>
          <w:sz w:val="24"/>
          <w:szCs w:val="24"/>
        </w:rPr>
      </w:pPr>
    </w:p>
    <w:p w14:paraId="771CA1DE" w14:textId="77777777" w:rsidR="00AF484A" w:rsidRPr="00CF6D97" w:rsidRDefault="00281350">
      <w:pPr>
        <w:numPr>
          <w:ilvl w:val="0"/>
          <w:numId w:val="25"/>
        </w:numPr>
        <w:jc w:val="both"/>
        <w:rPr>
          <w:rFonts w:ascii="Arial Narrow" w:hAnsi="Arial Narrow" w:cs="Arial"/>
          <w:b/>
          <w:bCs/>
          <w:sz w:val="24"/>
          <w:szCs w:val="24"/>
        </w:rPr>
      </w:pPr>
      <w:r w:rsidRPr="00CF6D97">
        <w:rPr>
          <w:rFonts w:ascii="Arial Narrow" w:hAnsi="Arial Narrow" w:cs="Arial"/>
          <w:b/>
          <w:bCs/>
          <w:sz w:val="24"/>
          <w:szCs w:val="24"/>
        </w:rPr>
        <w:t>Principes généraux</w:t>
      </w:r>
    </w:p>
    <w:p w14:paraId="225EBC64" w14:textId="77777777" w:rsidR="00AF484A" w:rsidRPr="00CF6D97" w:rsidRDefault="00281350">
      <w:pPr>
        <w:autoSpaceDE w:val="0"/>
        <w:autoSpaceDN w:val="0"/>
        <w:adjustRightInd w:val="0"/>
        <w:spacing w:after="0"/>
        <w:jc w:val="both"/>
        <w:rPr>
          <w:rFonts w:ascii="Arial Narrow" w:hAnsi="Arial Narrow"/>
          <w:sz w:val="24"/>
          <w:szCs w:val="24"/>
        </w:rPr>
      </w:pPr>
      <w:r w:rsidRPr="00CF6D97">
        <w:rPr>
          <w:rFonts w:ascii="Arial Narrow" w:hAnsi="Arial Narrow"/>
          <w:sz w:val="24"/>
          <w:szCs w:val="24"/>
        </w:rPr>
        <w:t>L'évaluation des soumissions s'effectuera selon les pondérations suivantes :</w:t>
      </w:r>
    </w:p>
    <w:p w14:paraId="25DD76F6"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notation de l'offre technique comptera pour 70% dans l'évaluation globale ;</w:t>
      </w:r>
    </w:p>
    <w:p w14:paraId="12412C14" w14:textId="77777777" w:rsidR="00AF484A" w:rsidRPr="00CF6D97" w:rsidRDefault="00281350">
      <w:pPr>
        <w:pStyle w:val="Paragraphedeliste"/>
        <w:numPr>
          <w:ilvl w:val="0"/>
          <w:numId w:val="10"/>
        </w:numPr>
        <w:spacing w:before="40" w:after="60" w:line="240" w:lineRule="auto"/>
        <w:rPr>
          <w:rFonts w:ascii="Arial Narrow" w:hAnsi="Arial Narrow"/>
          <w:sz w:val="24"/>
          <w:szCs w:val="24"/>
        </w:rPr>
      </w:pPr>
      <w:r w:rsidRPr="00CF6D97">
        <w:rPr>
          <w:rFonts w:ascii="Arial Narrow" w:eastAsia="Arial" w:hAnsi="Arial Narrow" w:cs="Arial"/>
          <w:color w:val="1A1A1A"/>
          <w:sz w:val="24"/>
          <w:szCs w:val="24"/>
        </w:rPr>
        <w:t>La notation de l'offre financière comptera pour 30% dans l'évaluation globale.</w:t>
      </w:r>
    </w:p>
    <w:p w14:paraId="0BA67300" w14:textId="77777777" w:rsidR="00AF484A" w:rsidRPr="00CF6D97" w:rsidRDefault="00AF484A">
      <w:pPr>
        <w:jc w:val="both"/>
        <w:rPr>
          <w:rFonts w:ascii="Arial Narrow" w:hAnsi="Arial Narrow" w:cs="Arial"/>
        </w:rPr>
      </w:pPr>
    </w:p>
    <w:p w14:paraId="4E93ECD0" w14:textId="77777777" w:rsidR="008265EC" w:rsidRPr="00CF6D97" w:rsidRDefault="008265EC">
      <w:pPr>
        <w:jc w:val="both"/>
        <w:rPr>
          <w:rFonts w:ascii="Arial Narrow" w:hAnsi="Arial Narrow" w:cs="Arial"/>
        </w:rPr>
      </w:pPr>
    </w:p>
    <w:p w14:paraId="0074645C" w14:textId="77777777" w:rsidR="008265EC" w:rsidRPr="00CF6D97" w:rsidRDefault="008265EC">
      <w:pPr>
        <w:jc w:val="both"/>
        <w:rPr>
          <w:rFonts w:ascii="Arial Narrow" w:hAnsi="Arial Narrow" w:cs="Arial"/>
        </w:rPr>
      </w:pPr>
    </w:p>
    <w:p w14:paraId="0815948F" w14:textId="77777777" w:rsidR="00AF484A" w:rsidRPr="00CF6D97" w:rsidRDefault="00281350">
      <w:pPr>
        <w:numPr>
          <w:ilvl w:val="0"/>
          <w:numId w:val="25"/>
        </w:numPr>
        <w:jc w:val="both"/>
        <w:rPr>
          <w:rFonts w:ascii="Arial Narrow" w:hAnsi="Arial Narrow" w:cs="Arial"/>
          <w:b/>
          <w:bCs/>
          <w:sz w:val="24"/>
          <w:szCs w:val="24"/>
        </w:rPr>
      </w:pPr>
      <w:r w:rsidRPr="00CF6D97">
        <w:rPr>
          <w:rFonts w:ascii="Arial Narrow" w:hAnsi="Arial Narrow" w:cs="Arial"/>
          <w:b/>
          <w:bCs/>
          <w:sz w:val="24"/>
          <w:szCs w:val="24"/>
        </w:rPr>
        <w:t>Grille d’évaluation technique</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67"/>
        <w:gridCol w:w="1985"/>
      </w:tblGrid>
      <w:tr w:rsidR="00AF484A" w:rsidRPr="00CF6D97" w14:paraId="63C33674" w14:textId="77777777">
        <w:tc>
          <w:tcPr>
            <w:tcW w:w="8767"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61234BE8" w14:textId="77777777" w:rsidR="00AF484A" w:rsidRPr="00CF6D97" w:rsidRDefault="00281350">
            <w:pPr>
              <w:spacing w:before="60" w:after="60"/>
            </w:pPr>
            <w:r w:rsidRPr="00CF6D97">
              <w:rPr>
                <w:rFonts w:ascii="Arial" w:eastAsia="Arial" w:hAnsi="Arial" w:cs="Arial"/>
                <w:b/>
                <w:bCs/>
                <w:color w:val="FFFFFF"/>
                <w:sz w:val="20"/>
                <w:szCs w:val="20"/>
              </w:rPr>
              <w:t>Critère</w:t>
            </w:r>
          </w:p>
        </w:tc>
        <w:tc>
          <w:tcPr>
            <w:tcW w:w="1985"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0F47989F" w14:textId="77777777" w:rsidR="00AF484A" w:rsidRPr="00CF6D97" w:rsidRDefault="00281350">
            <w:pPr>
              <w:spacing w:before="60" w:after="60"/>
            </w:pPr>
            <w:r w:rsidRPr="00CF6D97">
              <w:rPr>
                <w:rFonts w:ascii="Arial" w:eastAsia="Arial" w:hAnsi="Arial" w:cs="Arial"/>
                <w:b/>
                <w:bCs/>
                <w:color w:val="FFFFFF"/>
                <w:sz w:val="20"/>
                <w:szCs w:val="20"/>
              </w:rPr>
              <w:t>Pondération</w:t>
            </w:r>
          </w:p>
        </w:tc>
      </w:tr>
      <w:tr w:rsidR="00AF484A" w:rsidRPr="00CF6D97" w14:paraId="129705B5"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2124BA08" w14:textId="77777777" w:rsidR="00AF484A" w:rsidRPr="00CF6D97" w:rsidRDefault="00281350">
            <w:pPr>
              <w:spacing w:before="60" w:after="60"/>
            </w:pPr>
            <w:r w:rsidRPr="00CF6D97">
              <w:rPr>
                <w:rFonts w:ascii="Arial" w:eastAsia="Arial" w:hAnsi="Arial" w:cs="Arial"/>
                <w:b/>
                <w:bCs/>
                <w:color w:val="1A1A1A"/>
                <w:sz w:val="20"/>
                <w:szCs w:val="20"/>
              </w:rPr>
              <w:t>Présentation globale de l'offre</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EC9A67E" w14:textId="77777777" w:rsidR="00AF484A" w:rsidRPr="00CF6D97" w:rsidRDefault="00281350">
            <w:pPr>
              <w:spacing w:before="60" w:after="60"/>
            </w:pPr>
            <w:r w:rsidRPr="00CF6D97">
              <w:rPr>
                <w:rFonts w:ascii="Arial" w:eastAsia="Arial" w:hAnsi="Arial" w:cs="Arial"/>
                <w:color w:val="1A1A1A"/>
                <w:sz w:val="20"/>
                <w:szCs w:val="20"/>
              </w:rPr>
              <w:t>5</w:t>
            </w:r>
          </w:p>
        </w:tc>
      </w:tr>
      <w:tr w:rsidR="00AF484A" w:rsidRPr="00CF6D97" w14:paraId="0B410218"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3C13810" w14:textId="77777777" w:rsidR="00AF484A" w:rsidRPr="00CF6D97" w:rsidRDefault="00281350">
            <w:pPr>
              <w:spacing w:before="60" w:after="60"/>
            </w:pPr>
            <w:r w:rsidRPr="00CF6D97">
              <w:rPr>
                <w:rFonts w:ascii="Arial" w:eastAsia="Arial" w:hAnsi="Arial" w:cs="Arial"/>
                <w:b/>
                <w:bCs/>
                <w:color w:val="1A1A1A"/>
                <w:sz w:val="20"/>
                <w:szCs w:val="20"/>
              </w:rPr>
              <w:t>Compréhension des enjeux stratégiques, techniques et opérationnels</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52BDF7B5" w14:textId="77777777" w:rsidR="00AF484A" w:rsidRPr="00CF6D97" w:rsidRDefault="00281350">
            <w:pPr>
              <w:spacing w:before="60" w:after="60"/>
            </w:pPr>
            <w:r w:rsidRPr="00CF6D97">
              <w:rPr>
                <w:rFonts w:ascii="Arial" w:eastAsia="Arial" w:hAnsi="Arial" w:cs="Arial"/>
                <w:color w:val="1A1A1A"/>
                <w:sz w:val="20"/>
                <w:szCs w:val="20"/>
              </w:rPr>
              <w:t>10</w:t>
            </w:r>
          </w:p>
        </w:tc>
      </w:tr>
      <w:tr w:rsidR="00AF484A" w:rsidRPr="00CF6D97" w14:paraId="707364B0"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1584E658" w14:textId="77777777" w:rsidR="00AF484A" w:rsidRPr="00CF6D97" w:rsidRDefault="00281350">
            <w:pPr>
              <w:spacing w:before="60" w:after="60"/>
            </w:pPr>
            <w:r w:rsidRPr="00CF6D97">
              <w:rPr>
                <w:rFonts w:ascii="Arial" w:eastAsia="Arial" w:hAnsi="Arial" w:cs="Arial"/>
                <w:b/>
                <w:bCs/>
                <w:color w:val="1A1A1A"/>
                <w:sz w:val="20"/>
                <w:szCs w:val="20"/>
              </w:rPr>
              <w:t>Qualité et exhaustivité du plan projet (méthodologie, planning, organisation)</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603FF53D" w14:textId="77777777" w:rsidR="00AF484A" w:rsidRPr="00CF6D97" w:rsidRDefault="00281350">
            <w:pPr>
              <w:spacing w:before="60" w:after="60"/>
            </w:pPr>
            <w:r w:rsidRPr="00CF6D97">
              <w:rPr>
                <w:rFonts w:ascii="Arial" w:eastAsia="Arial" w:hAnsi="Arial" w:cs="Arial"/>
                <w:color w:val="1A1A1A"/>
                <w:sz w:val="20"/>
                <w:szCs w:val="20"/>
              </w:rPr>
              <w:t>20</w:t>
            </w:r>
          </w:p>
        </w:tc>
      </w:tr>
      <w:tr w:rsidR="00AF484A" w:rsidRPr="00CF6D97" w14:paraId="0C5A4BD3"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7BD26844" w14:textId="77777777" w:rsidR="00AF484A" w:rsidRPr="00CF6D97" w:rsidRDefault="00281350">
            <w:pPr>
              <w:spacing w:before="60" w:after="60"/>
            </w:pPr>
            <w:r w:rsidRPr="00CF6D97">
              <w:rPr>
                <w:rFonts w:ascii="Arial" w:eastAsia="Arial" w:hAnsi="Arial" w:cs="Arial"/>
                <w:b/>
                <w:bCs/>
                <w:color w:val="1A1A1A"/>
                <w:sz w:val="20"/>
                <w:szCs w:val="20"/>
              </w:rPr>
              <w:t>Démarche détaillée proposée</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C26AFAF" w14:textId="77777777" w:rsidR="00AF484A" w:rsidRPr="00CF6D97" w:rsidRDefault="00281350">
            <w:pPr>
              <w:spacing w:before="60" w:after="60"/>
            </w:pPr>
            <w:r w:rsidRPr="00CF6D97">
              <w:rPr>
                <w:rFonts w:ascii="Arial" w:eastAsia="Arial" w:hAnsi="Arial" w:cs="Arial"/>
                <w:color w:val="1A1A1A"/>
                <w:sz w:val="20"/>
                <w:szCs w:val="20"/>
              </w:rPr>
              <w:t>30</w:t>
            </w:r>
          </w:p>
        </w:tc>
      </w:tr>
      <w:tr w:rsidR="00AF484A" w:rsidRPr="00CF6D97" w14:paraId="60803907"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C5B6A0F" w14:textId="77777777" w:rsidR="00AF484A" w:rsidRPr="00CF6D97" w:rsidRDefault="00281350">
            <w:pPr>
              <w:spacing w:before="60" w:after="60"/>
            </w:pPr>
            <w:r w:rsidRPr="00CF6D97">
              <w:rPr>
                <w:rFonts w:ascii="Arial" w:eastAsia="Arial" w:hAnsi="Arial" w:cs="Arial"/>
                <w:b/>
                <w:bCs/>
                <w:color w:val="1A1A1A"/>
                <w:sz w:val="20"/>
                <w:szCs w:val="20"/>
              </w:rPr>
              <w:t>Qualifications et expériences des intervenants sur des projets similaires</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E9856E8" w14:textId="77777777" w:rsidR="00AF484A" w:rsidRPr="00CF6D97" w:rsidRDefault="00281350">
            <w:pPr>
              <w:spacing w:before="60" w:after="60"/>
            </w:pPr>
            <w:r w:rsidRPr="00CF6D97">
              <w:rPr>
                <w:rFonts w:ascii="Arial" w:eastAsia="Arial" w:hAnsi="Arial" w:cs="Arial"/>
                <w:color w:val="1A1A1A"/>
                <w:sz w:val="20"/>
                <w:szCs w:val="20"/>
              </w:rPr>
              <w:t>20</w:t>
            </w:r>
          </w:p>
        </w:tc>
      </w:tr>
      <w:tr w:rsidR="00AF484A" w:rsidRPr="00CF6D97" w14:paraId="48DFF182"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4E689EC7" w14:textId="77777777" w:rsidR="00AF484A" w:rsidRPr="00CF6D97" w:rsidRDefault="00281350">
            <w:pPr>
              <w:spacing w:before="60" w:after="60"/>
            </w:pPr>
            <w:r w:rsidRPr="00CF6D97">
              <w:rPr>
                <w:rFonts w:ascii="Arial" w:eastAsia="Arial" w:hAnsi="Arial" w:cs="Arial"/>
                <w:b/>
                <w:bCs/>
                <w:color w:val="1A1A1A"/>
                <w:sz w:val="20"/>
                <w:szCs w:val="20"/>
              </w:rPr>
              <w:t>Références du soumissionnaire sur des projets similaires</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763A106" w14:textId="77777777" w:rsidR="00AF484A" w:rsidRPr="00CF6D97" w:rsidRDefault="00281350">
            <w:pPr>
              <w:spacing w:before="60" w:after="60"/>
            </w:pPr>
            <w:r w:rsidRPr="00CF6D97">
              <w:rPr>
                <w:rFonts w:ascii="Arial" w:eastAsia="Arial" w:hAnsi="Arial" w:cs="Arial"/>
                <w:color w:val="1A1A1A"/>
                <w:sz w:val="20"/>
                <w:szCs w:val="20"/>
              </w:rPr>
              <w:t>15</w:t>
            </w:r>
          </w:p>
        </w:tc>
      </w:tr>
      <w:tr w:rsidR="00AF484A" w:rsidRPr="00CF6D97" w14:paraId="5599F8A4" w14:textId="77777777">
        <w:tc>
          <w:tcPr>
            <w:tcW w:w="8767" w:type="dxa"/>
            <w:tcBorders>
              <w:top w:val="single" w:sz="0" w:space="0" w:color="CCCCCC"/>
              <w:left w:val="single" w:sz="0" w:space="0" w:color="CCCCCC"/>
              <w:bottom w:val="single" w:sz="0" w:space="0" w:color="CCCCCC"/>
              <w:right w:val="single" w:sz="0" w:space="0" w:color="CCCCCC"/>
            </w:tcBorders>
            <w:shd w:val="clear" w:color="auto" w:fill="F5F5F5"/>
            <w:tcMar>
              <w:top w:w="80" w:type="dxa"/>
              <w:left w:w="120" w:type="dxa"/>
              <w:bottom w:w="80" w:type="dxa"/>
              <w:right w:w="120" w:type="dxa"/>
            </w:tcMar>
            <w:vAlign w:val="center"/>
          </w:tcPr>
          <w:p w14:paraId="55D19FA9" w14:textId="77777777" w:rsidR="00AF484A" w:rsidRPr="00CF6D97" w:rsidRDefault="00281350">
            <w:pPr>
              <w:spacing w:before="60" w:after="60"/>
            </w:pPr>
            <w:r w:rsidRPr="00CF6D97">
              <w:rPr>
                <w:rFonts w:ascii="Arial" w:eastAsia="Arial" w:hAnsi="Arial" w:cs="Arial"/>
                <w:b/>
                <w:bCs/>
                <w:color w:val="1A1A1A"/>
                <w:sz w:val="20"/>
                <w:szCs w:val="20"/>
              </w:rPr>
              <w:t>TOTAL</w:t>
            </w:r>
          </w:p>
        </w:tc>
        <w:tc>
          <w:tcPr>
            <w:tcW w:w="1985"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323E414" w14:textId="77777777" w:rsidR="00AF484A" w:rsidRPr="00CF6D97" w:rsidRDefault="00281350">
            <w:pPr>
              <w:spacing w:before="60" w:after="60"/>
            </w:pPr>
            <w:r w:rsidRPr="00CF6D97">
              <w:rPr>
                <w:rFonts w:ascii="Arial" w:eastAsia="Arial" w:hAnsi="Arial" w:cs="Arial"/>
                <w:color w:val="1A1A1A"/>
                <w:sz w:val="20"/>
                <w:szCs w:val="20"/>
              </w:rPr>
              <w:t>100</w:t>
            </w:r>
          </w:p>
        </w:tc>
      </w:tr>
    </w:tbl>
    <w:p w14:paraId="27C320F8" w14:textId="77777777" w:rsidR="00AF484A" w:rsidRPr="00CF6D97" w:rsidRDefault="00AF484A">
      <w:pPr>
        <w:jc w:val="both"/>
        <w:rPr>
          <w:rFonts w:ascii="Arial Narrow" w:hAnsi="Arial Narrow" w:cs="Arial"/>
        </w:rPr>
      </w:pPr>
    </w:p>
    <w:p w14:paraId="767761CE"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Pour l'évaluation des références (15 points), la notation tiendra compte du contexte géographique des missions :</w:t>
      </w:r>
    </w:p>
    <w:p w14:paraId="71B28B95" w14:textId="77777777" w:rsidR="00AF484A" w:rsidRPr="00CF6D97" w:rsidRDefault="00AF484A">
      <w:pPr>
        <w:spacing w:after="80"/>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90"/>
        <w:gridCol w:w="1276"/>
        <w:gridCol w:w="2486"/>
      </w:tblGrid>
      <w:tr w:rsidR="00AF484A" w:rsidRPr="00CF6D97" w14:paraId="5D19A026" w14:textId="77777777">
        <w:tc>
          <w:tcPr>
            <w:tcW w:w="5790"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2E4C33EA"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Contexte de la référence</w:t>
            </w:r>
          </w:p>
        </w:tc>
        <w:tc>
          <w:tcPr>
            <w:tcW w:w="1276"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4A5F4086"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Coefficient</w:t>
            </w:r>
          </w:p>
        </w:tc>
        <w:tc>
          <w:tcPr>
            <w:tcW w:w="2486" w:type="dxa"/>
            <w:tcBorders>
              <w:top w:val="single" w:sz="0" w:space="0" w:color="CCCCCC"/>
              <w:left w:val="single" w:sz="0" w:space="0" w:color="CCCCCC"/>
              <w:bottom w:val="single" w:sz="0" w:space="0" w:color="CCCCCC"/>
              <w:right w:val="single" w:sz="0" w:space="0" w:color="CCCCCC"/>
            </w:tcBorders>
            <w:shd w:val="clear" w:color="auto" w:fill="003087"/>
            <w:tcMar>
              <w:top w:w="80" w:type="dxa"/>
              <w:left w:w="120" w:type="dxa"/>
              <w:bottom w:w="80" w:type="dxa"/>
              <w:right w:w="120" w:type="dxa"/>
            </w:tcMar>
            <w:vAlign w:val="center"/>
          </w:tcPr>
          <w:p w14:paraId="084CB70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FFFFFF"/>
                <w:sz w:val="24"/>
                <w:szCs w:val="24"/>
              </w:rPr>
              <w:t>Note maximale (sur 15)</w:t>
            </w:r>
          </w:p>
        </w:tc>
      </w:tr>
      <w:tr w:rsidR="00AF484A" w:rsidRPr="00CF6D97" w14:paraId="3B9D306D" w14:textId="77777777">
        <w:tc>
          <w:tcPr>
            <w:tcW w:w="579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370497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Mission similaire en zone UEMOA ou avec le GIM-UEMOA</w:t>
            </w:r>
          </w:p>
        </w:tc>
        <w:tc>
          <w:tcPr>
            <w:tcW w:w="127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3198CFD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100%</w:t>
            </w:r>
          </w:p>
        </w:tc>
        <w:tc>
          <w:tcPr>
            <w:tcW w:w="248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1A6D5692"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15 points</w:t>
            </w:r>
          </w:p>
        </w:tc>
      </w:tr>
      <w:tr w:rsidR="00AF484A" w:rsidRPr="00CF6D97" w14:paraId="0AB85F91" w14:textId="77777777">
        <w:tc>
          <w:tcPr>
            <w:tcW w:w="579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D93B7D3"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Mission similaire en Afrique hors UEMOA</w:t>
            </w:r>
          </w:p>
        </w:tc>
        <w:tc>
          <w:tcPr>
            <w:tcW w:w="127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4A34839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70%</w:t>
            </w:r>
          </w:p>
        </w:tc>
        <w:tc>
          <w:tcPr>
            <w:tcW w:w="248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2E9803A0"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10,5 points</w:t>
            </w:r>
          </w:p>
        </w:tc>
      </w:tr>
      <w:tr w:rsidR="00AF484A" w:rsidRPr="00CF6D97" w14:paraId="7F6FEFD0" w14:textId="77777777">
        <w:tc>
          <w:tcPr>
            <w:tcW w:w="579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7A34AA6C"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b/>
                <w:bCs/>
                <w:color w:val="1A1A1A"/>
                <w:sz w:val="24"/>
                <w:szCs w:val="24"/>
              </w:rPr>
              <w:t>Mission similaire hors Afrique</w:t>
            </w:r>
          </w:p>
        </w:tc>
        <w:tc>
          <w:tcPr>
            <w:tcW w:w="127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6AAEE4B"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40%</w:t>
            </w:r>
          </w:p>
        </w:tc>
        <w:tc>
          <w:tcPr>
            <w:tcW w:w="2486" w:type="dxa"/>
            <w:tcBorders>
              <w:top w:val="single" w:sz="0" w:space="0" w:color="CCCCCC"/>
              <w:left w:val="single" w:sz="0" w:space="0" w:color="CCCCCC"/>
              <w:bottom w:val="single" w:sz="0" w:space="0" w:color="CCCCCC"/>
              <w:right w:val="single" w:sz="0" w:space="0" w:color="CCCCCC"/>
            </w:tcBorders>
            <w:shd w:val="clear" w:color="auto" w:fill="FFFFFF"/>
            <w:tcMar>
              <w:top w:w="80" w:type="dxa"/>
              <w:left w:w="120" w:type="dxa"/>
              <w:bottom w:w="80" w:type="dxa"/>
              <w:right w:w="120" w:type="dxa"/>
            </w:tcMar>
            <w:vAlign w:val="center"/>
          </w:tcPr>
          <w:p w14:paraId="0E7A734F" w14:textId="77777777" w:rsidR="00AF484A" w:rsidRPr="00CF6D97" w:rsidRDefault="00281350">
            <w:pPr>
              <w:spacing w:before="60" w:after="60"/>
              <w:rPr>
                <w:rFonts w:ascii="Arial Narrow" w:hAnsi="Arial Narrow"/>
                <w:sz w:val="24"/>
                <w:szCs w:val="24"/>
              </w:rPr>
            </w:pPr>
            <w:r w:rsidRPr="00CF6D97">
              <w:rPr>
                <w:rFonts w:ascii="Arial Narrow" w:eastAsia="Arial" w:hAnsi="Arial Narrow" w:cs="Arial"/>
                <w:color w:val="1A1A1A"/>
                <w:sz w:val="24"/>
                <w:szCs w:val="24"/>
              </w:rPr>
              <w:t>6 points</w:t>
            </w:r>
          </w:p>
        </w:tc>
      </w:tr>
    </w:tbl>
    <w:p w14:paraId="644A8EF2" w14:textId="77777777" w:rsidR="00AF484A" w:rsidRPr="00CF6D97" w:rsidRDefault="00AF484A">
      <w:pPr>
        <w:spacing w:after="100"/>
      </w:pPr>
    </w:p>
    <w:p w14:paraId="50E0A38A" w14:textId="77777777" w:rsidR="00AF484A" w:rsidRPr="00CF6D97" w:rsidRDefault="00281350">
      <w:pPr>
        <w:spacing w:before="60" w:after="100"/>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Seules les attestations de bonne exécution produites seront prises en compte lors de l'évaluation des offres. Ne sont prises en compte que les expériences sur des missions similaires.</w:t>
      </w:r>
    </w:p>
    <w:p w14:paraId="08534760" w14:textId="7D17B588" w:rsidR="006A1843" w:rsidRPr="00CF6D97" w:rsidRDefault="006A1843" w:rsidP="006A1843">
      <w:pPr>
        <w:jc w:val="both"/>
        <w:rPr>
          <w:rFonts w:ascii="Aptos Display" w:eastAsia="Arial Narrow" w:hAnsi="Aptos Display" w:cs="Arial Narrow"/>
          <w:sz w:val="24"/>
          <w:szCs w:val="24"/>
        </w:rPr>
      </w:pPr>
      <w:r w:rsidRPr="00CF6D97">
        <w:rPr>
          <w:rFonts w:ascii="Aptos Display" w:eastAsia="Arial Narrow" w:hAnsi="Aptos Display" w:cs="Arial Narrow"/>
          <w:sz w:val="24"/>
          <w:szCs w:val="24"/>
        </w:rPr>
        <w:t xml:space="preserve">Les soumissionnaires présélectionnés doivent obtenir </w:t>
      </w:r>
      <w:r w:rsidRPr="001D0CD5">
        <w:rPr>
          <w:rFonts w:ascii="Aptos Display" w:eastAsia="Arial Narrow" w:hAnsi="Aptos Display" w:cs="Arial Narrow"/>
          <w:b/>
          <w:bCs/>
          <w:sz w:val="24"/>
          <w:szCs w:val="24"/>
        </w:rPr>
        <w:t>une note minimale de 5</w:t>
      </w:r>
      <w:r w:rsidR="00460F57" w:rsidRPr="001D0CD5">
        <w:rPr>
          <w:rFonts w:ascii="Aptos Display" w:eastAsia="Arial Narrow" w:hAnsi="Aptos Display" w:cs="Arial Narrow"/>
          <w:b/>
          <w:bCs/>
          <w:sz w:val="24"/>
          <w:szCs w:val="24"/>
        </w:rPr>
        <w:t>2,5</w:t>
      </w:r>
      <w:r w:rsidRPr="001D0CD5">
        <w:rPr>
          <w:rFonts w:ascii="Aptos Display" w:eastAsia="Arial Narrow" w:hAnsi="Aptos Display" w:cs="Arial Narrow"/>
          <w:b/>
          <w:bCs/>
          <w:sz w:val="24"/>
          <w:szCs w:val="24"/>
        </w:rPr>
        <w:t>/70</w:t>
      </w:r>
      <w:r w:rsidRPr="00CF6D97">
        <w:rPr>
          <w:rFonts w:ascii="Aptos Display" w:eastAsia="Arial Narrow" w:hAnsi="Aptos Display" w:cs="Arial Narrow"/>
          <w:sz w:val="24"/>
          <w:szCs w:val="24"/>
        </w:rPr>
        <w:t xml:space="preserve"> relativement à l’offre technique pour être présélectionnés pour la suite de la procédure.</w:t>
      </w:r>
    </w:p>
    <w:p w14:paraId="39793DB8" w14:textId="77777777" w:rsidR="00AF484A" w:rsidRPr="00CF6D97" w:rsidRDefault="00AF484A">
      <w:pPr>
        <w:jc w:val="both"/>
        <w:rPr>
          <w:rFonts w:ascii="Arial Narrow" w:hAnsi="Arial Narrow" w:cs="Arial"/>
        </w:rPr>
      </w:pPr>
    </w:p>
    <w:p w14:paraId="41F3DAD9" w14:textId="77777777" w:rsidR="00AF484A" w:rsidRPr="00CF6D97" w:rsidRDefault="00AF484A">
      <w:pPr>
        <w:pStyle w:val="Paragraphedeliste"/>
        <w:numPr>
          <w:ilvl w:val="0"/>
          <w:numId w:val="1"/>
        </w:numPr>
        <w:autoSpaceDE w:val="0"/>
        <w:autoSpaceDN w:val="0"/>
        <w:adjustRightInd w:val="0"/>
        <w:spacing w:before="120" w:after="120" w:line="240" w:lineRule="auto"/>
        <w:jc w:val="both"/>
        <w:outlineLvl w:val="0"/>
        <w:rPr>
          <w:rFonts w:ascii="Arial Narrow" w:eastAsia="Helvetica Neue" w:hAnsi="Arial Narrow" w:cs="Arial"/>
          <w:b/>
          <w:bCs/>
          <w:vanish/>
          <w:color w:val="000000"/>
        </w:rPr>
      </w:pPr>
      <w:bookmarkStart w:id="0" w:name="_Toc134372864"/>
    </w:p>
    <w:p w14:paraId="62EC7224" w14:textId="77777777" w:rsidR="00AF484A" w:rsidRPr="00CF6D97" w:rsidRDefault="00AF484A">
      <w:pPr>
        <w:pStyle w:val="Paragraphedeliste"/>
        <w:numPr>
          <w:ilvl w:val="0"/>
          <w:numId w:val="1"/>
        </w:numPr>
        <w:autoSpaceDE w:val="0"/>
        <w:autoSpaceDN w:val="0"/>
        <w:adjustRightInd w:val="0"/>
        <w:spacing w:before="120" w:after="120" w:line="240" w:lineRule="auto"/>
        <w:jc w:val="both"/>
        <w:outlineLvl w:val="0"/>
        <w:rPr>
          <w:rFonts w:ascii="Arial Narrow" w:eastAsia="Helvetica Neue" w:hAnsi="Arial Narrow" w:cs="Arial"/>
          <w:b/>
          <w:bCs/>
          <w:vanish/>
          <w:color w:val="000000"/>
        </w:rPr>
      </w:pPr>
    </w:p>
    <w:p w14:paraId="2A113250" w14:textId="77777777" w:rsidR="00AF484A" w:rsidRPr="00CF6D97" w:rsidRDefault="00AF484A">
      <w:pPr>
        <w:pStyle w:val="Paragraphedeliste"/>
        <w:numPr>
          <w:ilvl w:val="0"/>
          <w:numId w:val="1"/>
        </w:numPr>
        <w:autoSpaceDE w:val="0"/>
        <w:autoSpaceDN w:val="0"/>
        <w:adjustRightInd w:val="0"/>
        <w:spacing w:before="120" w:after="120" w:line="240" w:lineRule="auto"/>
        <w:jc w:val="both"/>
        <w:outlineLvl w:val="0"/>
        <w:rPr>
          <w:rFonts w:ascii="Arial Narrow" w:eastAsia="Helvetica Neue" w:hAnsi="Arial Narrow" w:cs="Arial"/>
          <w:b/>
          <w:bCs/>
          <w:vanish/>
          <w:color w:val="000000"/>
        </w:rPr>
      </w:pPr>
    </w:p>
    <w:p w14:paraId="0EA2637F" w14:textId="77777777" w:rsidR="00AF484A" w:rsidRPr="00CF6D97" w:rsidRDefault="00281350">
      <w:pPr>
        <w:numPr>
          <w:ilvl w:val="0"/>
          <w:numId w:val="25"/>
        </w:numPr>
        <w:jc w:val="both"/>
        <w:rPr>
          <w:rFonts w:ascii="Arial Narrow" w:hAnsi="Arial Narrow" w:cs="Arial"/>
          <w:b/>
          <w:bCs/>
          <w:sz w:val="24"/>
          <w:szCs w:val="24"/>
        </w:rPr>
      </w:pPr>
      <w:bookmarkStart w:id="1" w:name="_Toc134372865"/>
      <w:bookmarkEnd w:id="0"/>
      <w:r w:rsidRPr="00CF6D97">
        <w:rPr>
          <w:rFonts w:ascii="Arial Narrow" w:hAnsi="Arial Narrow" w:cs="Arial"/>
          <w:b/>
          <w:bCs/>
          <w:sz w:val="24"/>
          <w:szCs w:val="24"/>
        </w:rPr>
        <w:t>Evaluation financière</w:t>
      </w:r>
    </w:p>
    <w:p w14:paraId="27111B18"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L'offre financière devra présenter le coût total de la prestation libellé en francs CFA HT et TTC, ainsi que les charges en jours-hommes par profil d'intervenant.</w:t>
      </w:r>
    </w:p>
    <w:p w14:paraId="46BF3FD9"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lastRenderedPageBreak/>
        <w:t>Pour l'évaluation financière, l'offre financière qualifiée ayant le coût forfaitaire le moins élevé recevra la note maximale de 30 points. Les autres offres recevront une note Ni calculée selon la formule suivante :</w:t>
      </w:r>
    </w:p>
    <w:p w14:paraId="44078C84" w14:textId="77777777" w:rsidR="00AF484A" w:rsidRPr="00CF6D97" w:rsidRDefault="00281350">
      <w:pPr>
        <w:spacing w:before="80" w:after="80"/>
        <w:ind w:left="720"/>
        <w:rPr>
          <w:rFonts w:ascii="Arial Narrow" w:hAnsi="Arial Narrow"/>
          <w:sz w:val="24"/>
          <w:szCs w:val="24"/>
        </w:rPr>
      </w:pPr>
      <w:r w:rsidRPr="00CF6D97">
        <w:rPr>
          <w:rFonts w:ascii="Arial Narrow" w:eastAsia="Arial" w:hAnsi="Arial Narrow" w:cs="Arial"/>
          <w:b/>
          <w:bCs/>
          <w:color w:val="003087"/>
          <w:sz w:val="24"/>
          <w:szCs w:val="24"/>
        </w:rPr>
        <w:t>Ni = 30 × So / Si</w:t>
      </w:r>
    </w:p>
    <w:p w14:paraId="5338C4EA" w14:textId="77777777" w:rsidR="00AF484A" w:rsidRPr="00CF6D97" w:rsidRDefault="00281350">
      <w:pPr>
        <w:spacing w:before="60" w:after="100"/>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Où So est le montant de l'offre financière la plus basse et Si le montant de l'offre évaluée.</w:t>
      </w:r>
    </w:p>
    <w:p w14:paraId="4FFC0E48" w14:textId="77777777" w:rsidR="00AF484A" w:rsidRPr="00CF6D97" w:rsidRDefault="00281350">
      <w:pPr>
        <w:spacing w:before="60" w:after="100"/>
        <w:jc w:val="both"/>
        <w:rPr>
          <w:rFonts w:ascii="Arial Narrow" w:hAnsi="Arial Narrow"/>
          <w:sz w:val="24"/>
          <w:szCs w:val="24"/>
        </w:rPr>
      </w:pPr>
      <w:r w:rsidRPr="00CF6D97">
        <w:rPr>
          <w:rFonts w:ascii="Arial Narrow" w:eastAsia="Arial" w:hAnsi="Arial Narrow" w:cs="Arial"/>
          <w:color w:val="1A1A1A"/>
          <w:sz w:val="24"/>
          <w:szCs w:val="24"/>
        </w:rPr>
        <w:t>La commission d'évaluation vérifiera la cohérence entre le volume de jours-hommes proposé et le montant financier. Toute offre présentant une incohérence manifeste entre ces deux éléments fera l'objet d'une demande de clarification.</w:t>
      </w:r>
    </w:p>
    <w:p w14:paraId="7ECBC650"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5C197A6D"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097466C7" w14:textId="77777777" w:rsidR="00AF484A" w:rsidRPr="00CF6D97" w:rsidRDefault="00281350" w:rsidP="008265EC">
            <w:pPr>
              <w:numPr>
                <w:ilvl w:val="0"/>
                <w:numId w:val="29"/>
              </w:numPr>
              <w:rPr>
                <w:rFonts w:ascii="Arial Narrow" w:hAnsi="Arial Narrow" w:cs="Arial"/>
                <w:b/>
                <w:color w:val="283478"/>
                <w:sz w:val="24"/>
                <w:szCs w:val="24"/>
              </w:rPr>
            </w:pPr>
            <w:r w:rsidRPr="00CF6D97">
              <w:rPr>
                <w:rFonts w:ascii="Arial Narrow" w:hAnsi="Arial Narrow" w:cs="Arial"/>
                <w:b/>
                <w:color w:val="283478"/>
                <w:sz w:val="24"/>
                <w:szCs w:val="24"/>
              </w:rPr>
              <w:t xml:space="preserve">PREPARATION ET PRESENTATION DES OFFRES </w:t>
            </w:r>
          </w:p>
        </w:tc>
      </w:tr>
    </w:tbl>
    <w:p w14:paraId="5BB62A3C" w14:textId="77777777" w:rsidR="008265EC" w:rsidRPr="00CF6D97" w:rsidRDefault="008265EC">
      <w:pPr>
        <w:ind w:left="720"/>
        <w:jc w:val="both"/>
        <w:rPr>
          <w:rFonts w:ascii="Arial Narrow" w:hAnsi="Arial Narrow" w:cs="Arial"/>
          <w:b/>
          <w:color w:val="283478"/>
          <w:sz w:val="24"/>
          <w:szCs w:val="24"/>
        </w:rPr>
      </w:pPr>
    </w:p>
    <w:p w14:paraId="4D9A142C" w14:textId="77777777" w:rsidR="008265EC" w:rsidRPr="00CF6D97" w:rsidRDefault="008265EC" w:rsidP="008265EC">
      <w:pPr>
        <w:pStyle w:val="Paragraphedeliste"/>
        <w:numPr>
          <w:ilvl w:val="0"/>
          <w:numId w:val="28"/>
        </w:numPr>
        <w:contextualSpacing w:val="0"/>
        <w:jc w:val="both"/>
        <w:rPr>
          <w:rFonts w:ascii="Aptos Display" w:eastAsia="Arial Narrow" w:hAnsi="Aptos Display" w:cs="Arial Narrow"/>
          <w:b/>
          <w:bCs/>
          <w:vanish/>
          <w:sz w:val="24"/>
          <w:szCs w:val="24"/>
        </w:rPr>
      </w:pPr>
    </w:p>
    <w:p w14:paraId="7160D30F" w14:textId="77777777" w:rsidR="008265EC" w:rsidRPr="00CF6D97" w:rsidRDefault="008265EC" w:rsidP="008265EC">
      <w:pPr>
        <w:pStyle w:val="Paragraphedeliste"/>
        <w:numPr>
          <w:ilvl w:val="0"/>
          <w:numId w:val="28"/>
        </w:numPr>
        <w:contextualSpacing w:val="0"/>
        <w:jc w:val="both"/>
        <w:rPr>
          <w:rFonts w:ascii="Aptos Display" w:eastAsia="Arial Narrow" w:hAnsi="Aptos Display" w:cs="Arial Narrow"/>
          <w:b/>
          <w:bCs/>
          <w:vanish/>
          <w:sz w:val="24"/>
          <w:szCs w:val="24"/>
        </w:rPr>
      </w:pPr>
    </w:p>
    <w:p w14:paraId="1FFBF03F" w14:textId="77777777" w:rsidR="008265EC" w:rsidRPr="00CF6D97" w:rsidRDefault="008265EC" w:rsidP="008265EC">
      <w:pPr>
        <w:pStyle w:val="Paragraphedeliste"/>
        <w:numPr>
          <w:ilvl w:val="0"/>
          <w:numId w:val="28"/>
        </w:numPr>
        <w:contextualSpacing w:val="0"/>
        <w:jc w:val="both"/>
        <w:rPr>
          <w:rFonts w:ascii="Aptos Display" w:eastAsia="Arial Narrow" w:hAnsi="Aptos Display" w:cs="Arial Narrow"/>
          <w:b/>
          <w:bCs/>
          <w:vanish/>
          <w:sz w:val="24"/>
          <w:szCs w:val="24"/>
        </w:rPr>
      </w:pPr>
    </w:p>
    <w:p w14:paraId="6A68CF57" w14:textId="77777777" w:rsidR="008265EC" w:rsidRPr="00CF6D97" w:rsidRDefault="008265EC" w:rsidP="008265EC">
      <w:pPr>
        <w:pStyle w:val="Paragraphedeliste"/>
        <w:numPr>
          <w:ilvl w:val="0"/>
          <w:numId w:val="28"/>
        </w:numPr>
        <w:contextualSpacing w:val="0"/>
        <w:jc w:val="both"/>
        <w:rPr>
          <w:rFonts w:ascii="Aptos Display" w:eastAsia="Arial Narrow" w:hAnsi="Aptos Display" w:cs="Arial Narrow"/>
          <w:b/>
          <w:bCs/>
          <w:vanish/>
          <w:sz w:val="24"/>
          <w:szCs w:val="24"/>
        </w:rPr>
      </w:pPr>
    </w:p>
    <w:p w14:paraId="2CE41C17" w14:textId="77777777" w:rsidR="008265EC" w:rsidRPr="00CF6D97" w:rsidRDefault="008265EC" w:rsidP="008265EC">
      <w:pPr>
        <w:pStyle w:val="Paragraphedeliste"/>
        <w:numPr>
          <w:ilvl w:val="0"/>
          <w:numId w:val="28"/>
        </w:numPr>
        <w:contextualSpacing w:val="0"/>
        <w:jc w:val="both"/>
        <w:rPr>
          <w:rFonts w:ascii="Aptos Display" w:eastAsia="Arial Narrow" w:hAnsi="Aptos Display" w:cs="Arial Narrow"/>
          <w:b/>
          <w:bCs/>
          <w:vanish/>
          <w:sz w:val="24"/>
          <w:szCs w:val="24"/>
        </w:rPr>
      </w:pPr>
    </w:p>
    <w:p w14:paraId="6871EAD5" w14:textId="77777777" w:rsidR="00AF484A" w:rsidRPr="00CF6D97" w:rsidRDefault="00281350">
      <w:pPr>
        <w:numPr>
          <w:ilvl w:val="0"/>
          <w:numId w:val="26"/>
        </w:numPr>
        <w:jc w:val="both"/>
        <w:rPr>
          <w:rFonts w:ascii="Arial Narrow" w:hAnsi="Arial Narrow" w:cs="Arial"/>
          <w:b/>
          <w:bCs/>
          <w:sz w:val="24"/>
          <w:szCs w:val="24"/>
        </w:rPr>
      </w:pPr>
      <w:r w:rsidRPr="00CF6D97">
        <w:rPr>
          <w:rFonts w:ascii="Arial Narrow" w:hAnsi="Arial Narrow" w:cs="Arial"/>
          <w:b/>
          <w:bCs/>
          <w:sz w:val="24"/>
          <w:szCs w:val="24"/>
        </w:rPr>
        <w:t>Composition du dossier de soumission</w:t>
      </w:r>
    </w:p>
    <w:p w14:paraId="004D8F68" w14:textId="77777777" w:rsidR="00AF484A"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 xml:space="preserve">Les dossiers de soumission devront être transmis par voie électronique à l'adresse </w:t>
      </w:r>
      <w:r w:rsidRPr="00CF6D97">
        <w:rPr>
          <w:rFonts w:ascii="Arial Narrow" w:eastAsia="Arial" w:hAnsi="Arial Narrow" w:cs="Arial"/>
          <w:b/>
          <w:bCs/>
          <w:color w:val="1A1A1A"/>
          <w:sz w:val="24"/>
          <w:szCs w:val="24"/>
        </w:rPr>
        <w:t>offres@gim-uemoa.org</w:t>
      </w:r>
      <w:r w:rsidRPr="00CF6D97">
        <w:rPr>
          <w:rFonts w:ascii="Arial Narrow" w:eastAsia="Arial" w:hAnsi="Arial Narrow" w:cs="Arial"/>
          <w:color w:val="1A1A1A"/>
          <w:sz w:val="24"/>
          <w:szCs w:val="24"/>
        </w:rPr>
        <w:t xml:space="preserve"> avec pour objet : « </w:t>
      </w:r>
      <w:r w:rsidRPr="00CF6D97">
        <w:rPr>
          <w:rFonts w:ascii="Arial Narrow" w:eastAsia="Arial" w:hAnsi="Arial Narrow" w:cs="Arial"/>
          <w:b/>
          <w:bCs/>
          <w:color w:val="1A1A1A"/>
          <w:sz w:val="24"/>
          <w:szCs w:val="24"/>
        </w:rPr>
        <w:t>Offre pour Sélection de consultant pour la spécification d'un backoffice monétique, d'un noyau applicatif de paiement régional, d'un TMS régional et des protocoles d'échanges monétiques et de paiement du GIM-UEMOA basés sur ISO 20022 et les API</w:t>
      </w:r>
      <w:r w:rsidRPr="00CF6D97">
        <w:rPr>
          <w:rFonts w:ascii="Arial Narrow" w:eastAsia="Arial" w:hAnsi="Arial Narrow" w:cs="Arial"/>
          <w:color w:val="1A1A1A"/>
          <w:sz w:val="24"/>
          <w:szCs w:val="24"/>
        </w:rPr>
        <w:t xml:space="preserve"> ».</w:t>
      </w:r>
    </w:p>
    <w:p w14:paraId="00140AF6"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 dossier devra contenir les pièces suivantes au format PDF :</w:t>
      </w:r>
    </w:p>
    <w:p w14:paraId="6542502F" w14:textId="77777777" w:rsidR="00AF484A" w:rsidRPr="00CF6D97" w:rsidRDefault="00281350" w:rsidP="00872529">
      <w:pPr>
        <w:numPr>
          <w:ilvl w:val="2"/>
          <w:numId w:val="31"/>
        </w:numPr>
        <w:ind w:left="1418" w:hanging="284"/>
        <w:jc w:val="both"/>
        <w:rPr>
          <w:rFonts w:ascii="Aptos Display" w:eastAsia="Arial Narrow" w:hAnsi="Aptos Display" w:cs="Arial Narrow"/>
          <w:b/>
          <w:bCs/>
          <w:sz w:val="24"/>
          <w:szCs w:val="24"/>
        </w:rPr>
      </w:pPr>
      <w:r w:rsidRPr="00CF6D97">
        <w:rPr>
          <w:rFonts w:ascii="Aptos Display" w:eastAsia="Arial Narrow" w:hAnsi="Aptos Display" w:cs="Arial Narrow"/>
          <w:b/>
          <w:bCs/>
          <w:sz w:val="24"/>
          <w:szCs w:val="24"/>
        </w:rPr>
        <w:t>L'offre technique : note de compréhension des termes de référence, présentation détaillée du soumissionnaire et ses références, présentation détaillée de l'équipe chargée de la mission et ses qualifications, méthodologie et planning associé ;</w:t>
      </w:r>
    </w:p>
    <w:p w14:paraId="0F255B90" w14:textId="77777777" w:rsidR="00AF484A" w:rsidRPr="00CF6D97" w:rsidRDefault="00281350" w:rsidP="00872529">
      <w:pPr>
        <w:numPr>
          <w:ilvl w:val="2"/>
          <w:numId w:val="31"/>
        </w:numPr>
        <w:ind w:left="1418" w:hanging="284"/>
        <w:jc w:val="both"/>
        <w:rPr>
          <w:rFonts w:ascii="Aptos Display" w:eastAsia="Arial Narrow" w:hAnsi="Aptos Display" w:cs="Arial Narrow"/>
          <w:b/>
          <w:bCs/>
          <w:sz w:val="24"/>
          <w:szCs w:val="24"/>
        </w:rPr>
      </w:pPr>
      <w:r w:rsidRPr="00CF6D97">
        <w:rPr>
          <w:rFonts w:ascii="Aptos Display" w:eastAsia="Arial Narrow" w:hAnsi="Aptos Display" w:cs="Arial Narrow"/>
          <w:b/>
          <w:bCs/>
          <w:sz w:val="24"/>
          <w:szCs w:val="24"/>
        </w:rPr>
        <w:t>L'offre financière : coût total de la prestation libellé en francs CFA HT et TTC, charges en jours-hommes par profil ;</w:t>
      </w:r>
    </w:p>
    <w:p w14:paraId="1A992861" w14:textId="77777777" w:rsidR="00AF484A" w:rsidRDefault="00281350" w:rsidP="00872529">
      <w:pPr>
        <w:numPr>
          <w:ilvl w:val="2"/>
          <w:numId w:val="31"/>
        </w:numPr>
        <w:ind w:left="1418" w:hanging="284"/>
        <w:jc w:val="both"/>
        <w:rPr>
          <w:rFonts w:ascii="Aptos Display" w:eastAsia="Arial Narrow" w:hAnsi="Aptos Display" w:cs="Arial Narrow"/>
          <w:b/>
          <w:bCs/>
          <w:sz w:val="24"/>
          <w:szCs w:val="24"/>
        </w:rPr>
      </w:pPr>
      <w:r w:rsidRPr="00CF6D97">
        <w:rPr>
          <w:rFonts w:ascii="Aptos Display" w:eastAsia="Arial Narrow" w:hAnsi="Aptos Display" w:cs="Arial Narrow"/>
          <w:b/>
          <w:bCs/>
          <w:sz w:val="24"/>
          <w:szCs w:val="24"/>
        </w:rPr>
        <w:t>Le projet d'avenant au contrat en format Word.</w:t>
      </w:r>
    </w:p>
    <w:p w14:paraId="3F9D2776" w14:textId="77777777" w:rsidR="00872529" w:rsidRPr="00CF6D97" w:rsidRDefault="00872529" w:rsidP="00E57006">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Les variations maximales de prix en cas d’augmentation ou de réduction du volume des travaux ne peuvent dépasser 30% du montant du marché initial.</w:t>
      </w:r>
    </w:p>
    <w:p w14:paraId="0320E8BD" w14:textId="77777777" w:rsidR="00872529" w:rsidRPr="00CF6D97" w:rsidRDefault="00872529" w:rsidP="00872529">
      <w:pPr>
        <w:numPr>
          <w:ilvl w:val="2"/>
          <w:numId w:val="31"/>
        </w:numPr>
        <w:ind w:left="1418" w:hanging="284"/>
        <w:jc w:val="both"/>
        <w:rPr>
          <w:rFonts w:ascii="Aptos Display" w:eastAsia="Arial Narrow" w:hAnsi="Aptos Display" w:cs="Arial Narrow"/>
          <w:b/>
          <w:bCs/>
          <w:sz w:val="24"/>
          <w:szCs w:val="24"/>
        </w:rPr>
      </w:pPr>
      <w:proofErr w:type="gramStart"/>
      <w:r w:rsidRPr="00CF6D97">
        <w:rPr>
          <w:rFonts w:ascii="Aptos Display" w:eastAsia="Arial Narrow" w:hAnsi="Aptos Display" w:cs="Arial Narrow"/>
          <w:b/>
          <w:bCs/>
          <w:sz w:val="24"/>
          <w:szCs w:val="24"/>
        </w:rPr>
        <w:t>l’avant</w:t>
      </w:r>
      <w:proofErr w:type="gramEnd"/>
      <w:r w:rsidRPr="00CF6D97">
        <w:rPr>
          <w:rFonts w:ascii="Aptos Display" w:eastAsia="Arial Narrow" w:hAnsi="Aptos Display" w:cs="Arial Narrow"/>
          <w:b/>
          <w:bCs/>
          <w:sz w:val="24"/>
          <w:szCs w:val="24"/>
        </w:rPr>
        <w:t>-projet de contrat </w:t>
      </w:r>
      <w:r w:rsidRPr="00CF6D97">
        <w:rPr>
          <w:rFonts w:ascii="Aptos Display" w:eastAsia="Arial Narrow" w:hAnsi="Aptos Display" w:cs="Arial Narrow"/>
          <w:sz w:val="24"/>
          <w:szCs w:val="24"/>
        </w:rPr>
        <w:t xml:space="preserve">devra être en format Word. </w:t>
      </w:r>
    </w:p>
    <w:p w14:paraId="208D593A"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t>[Il est porté à la connaissance des soumissionnaires relativement au contrat, que les avant-projets de contrat sous forme de conditions générales, habituellement considérées par les soumissionnaires comme non modifiables, feront l’objet de modification si les circonstances l’exigent afin d’une part, de prendre en compte l’expression des besoins du GIM-UEMOA telle que déclinée dans les présents termes de référence et d’autre part, de préserver les intérêts de l’Institution.</w:t>
      </w:r>
    </w:p>
    <w:p w14:paraId="69A4D33F"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t xml:space="preserve">Il est également porté à la connaissance des soumissionnaires que le GIM-UEMOA se réserve le droit de déterminer à sa seule discrétion, le mode de règlement des litiges (Voie judiciaire ou arbitrage). </w:t>
      </w:r>
    </w:p>
    <w:p w14:paraId="73490C2C"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lastRenderedPageBreak/>
        <w:t>En cas de choix de la voie judiciaire, le litige sera soumis aux juridictions compétentes du Sénégal.</w:t>
      </w:r>
    </w:p>
    <w:p w14:paraId="5464F097"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t>Dans l’hypothèse où l’arbitrage est retenu, le litige est impérativement soumis à la chambre de conciliation et d’arbitrage de Dakar à défaut d’un accord amiable.</w:t>
      </w:r>
    </w:p>
    <w:p w14:paraId="3F6EAD64"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t>L’arbitrage se fait à Dakar, et se déroule en langue française.</w:t>
      </w:r>
    </w:p>
    <w:p w14:paraId="13FEBBAF" w14:textId="77777777" w:rsidR="00872529" w:rsidRPr="00CF6D97" w:rsidRDefault="00872529" w:rsidP="00872529">
      <w:pPr>
        <w:jc w:val="both"/>
        <w:rPr>
          <w:rFonts w:ascii="Aptos Display" w:eastAsia="Arial Narrow" w:hAnsi="Aptos Display" w:cs="Arial Narrow"/>
          <w:b/>
          <w:bCs/>
          <w:sz w:val="24"/>
          <w:szCs w:val="24"/>
        </w:rPr>
      </w:pPr>
      <w:r w:rsidRPr="00CF6D97">
        <w:rPr>
          <w:rFonts w:ascii="Aptos Display" w:eastAsia="Arial Narrow" w:hAnsi="Aptos Display" w:cs="Arial Narrow"/>
          <w:b/>
          <w:bCs/>
          <w:i/>
          <w:iCs/>
          <w:sz w:val="24"/>
          <w:szCs w:val="24"/>
        </w:rPr>
        <w:t>Les frais de l’arbitrage sont à la charge de la partie perdante.</w:t>
      </w:r>
    </w:p>
    <w:p w14:paraId="2E72E0B2" w14:textId="77777777" w:rsidR="00872529" w:rsidRPr="00CF6D97" w:rsidRDefault="00872529" w:rsidP="00872529">
      <w:pPr>
        <w:jc w:val="both"/>
        <w:rPr>
          <w:rFonts w:ascii="Aptos Display" w:eastAsia="Arial Narrow" w:hAnsi="Aptos Display" w:cs="Arial Narrow"/>
          <w:sz w:val="24"/>
          <w:szCs w:val="24"/>
        </w:rPr>
      </w:pPr>
      <w:r w:rsidRPr="00CF6D97">
        <w:rPr>
          <w:rFonts w:ascii="Aptos Display" w:eastAsia="Arial Narrow" w:hAnsi="Aptos Display" w:cs="Arial Narrow"/>
          <w:b/>
          <w:bCs/>
          <w:i/>
          <w:iCs/>
          <w:sz w:val="24"/>
          <w:szCs w:val="24"/>
        </w:rPr>
        <w:t>Le contrat est impérativement régi par le droit communautaire de l’OHADA</w:t>
      </w:r>
      <w:r w:rsidRPr="00CF6D97">
        <w:rPr>
          <w:rFonts w:ascii="Aptos Display" w:eastAsia="Arial Narrow" w:hAnsi="Aptos Display" w:cs="Arial Narrow"/>
          <w:i/>
          <w:iCs/>
          <w:sz w:val="24"/>
          <w:szCs w:val="24"/>
        </w:rPr>
        <w:t>.]</w:t>
      </w:r>
    </w:p>
    <w:p w14:paraId="0822E861" w14:textId="77777777" w:rsidR="00872529" w:rsidRPr="00CF6D97" w:rsidRDefault="00872529" w:rsidP="00872529">
      <w:pPr>
        <w:jc w:val="both"/>
        <w:rPr>
          <w:rFonts w:ascii="Aptos Display" w:eastAsia="Arial Narrow" w:hAnsi="Aptos Display" w:cs="Arial Narrow"/>
          <w:sz w:val="24"/>
          <w:szCs w:val="24"/>
        </w:rPr>
      </w:pPr>
      <w:r w:rsidRPr="00CF6D97">
        <w:rPr>
          <w:rFonts w:ascii="Aptos Display" w:eastAsia="Arial Narrow" w:hAnsi="Aptos Display" w:cs="Arial Narrow"/>
          <w:sz w:val="24"/>
          <w:szCs w:val="24"/>
        </w:rPr>
        <w:t>Le dossier administratif comprendra les éléments suivants :</w:t>
      </w:r>
    </w:p>
    <w:p w14:paraId="3E39914D" w14:textId="77777777" w:rsidR="00872529" w:rsidRPr="00CF6D97" w:rsidRDefault="00872529" w:rsidP="00872529">
      <w:pPr>
        <w:numPr>
          <w:ilvl w:val="0"/>
          <w:numId w:val="30"/>
        </w:numPr>
        <w:jc w:val="both"/>
        <w:rPr>
          <w:rFonts w:ascii="Aptos Display" w:eastAsia="Arial Narrow" w:hAnsi="Aptos Display" w:cs="Arial Narrow"/>
          <w:b/>
          <w:bCs/>
          <w:sz w:val="24"/>
          <w:szCs w:val="24"/>
        </w:rPr>
      </w:pPr>
      <w:proofErr w:type="gramStart"/>
      <w:r w:rsidRPr="00CF6D97">
        <w:rPr>
          <w:rFonts w:ascii="Aptos Display" w:eastAsia="Arial Narrow" w:hAnsi="Aptos Display" w:cs="Arial Narrow"/>
          <w:b/>
          <w:bCs/>
          <w:sz w:val="24"/>
          <w:szCs w:val="24"/>
        </w:rPr>
        <w:t>justificatif</w:t>
      </w:r>
      <w:proofErr w:type="gramEnd"/>
      <w:r w:rsidRPr="00CF6D97">
        <w:rPr>
          <w:rFonts w:ascii="Aptos Display" w:eastAsia="Arial Narrow" w:hAnsi="Aptos Display" w:cs="Arial Narrow"/>
          <w:b/>
          <w:bCs/>
          <w:sz w:val="24"/>
          <w:szCs w:val="24"/>
        </w:rPr>
        <w:t xml:space="preserve"> de régularité fiscale et sociale.</w:t>
      </w:r>
    </w:p>
    <w:p w14:paraId="41881C6D" w14:textId="77777777" w:rsidR="00872529" w:rsidRPr="00CF6D97" w:rsidRDefault="00872529" w:rsidP="00872529">
      <w:pPr>
        <w:jc w:val="both"/>
        <w:rPr>
          <w:rFonts w:ascii="Aptos Display" w:eastAsia="Arial Narrow" w:hAnsi="Aptos Display" w:cs="Arial Narrow"/>
          <w:sz w:val="24"/>
          <w:szCs w:val="24"/>
        </w:rPr>
      </w:pPr>
      <w:r w:rsidRPr="00CF6D97">
        <w:rPr>
          <w:rFonts w:ascii="Aptos Display" w:eastAsia="Arial Narrow" w:hAnsi="Aptos Display" w:cs="Arial Narrow"/>
          <w:sz w:val="24"/>
          <w:szCs w:val="24"/>
        </w:rPr>
        <w:t>Les soumissionnaires devront justifier de leur régularité du point de vue fiscal et social, et mettre à la disposition du GIM-UEMOA les attestations y afférentes.</w:t>
      </w:r>
    </w:p>
    <w:p w14:paraId="1DB75931" w14:textId="77777777" w:rsidR="00872529" w:rsidRPr="00CF6D97" w:rsidRDefault="00872529" w:rsidP="00872529">
      <w:pPr>
        <w:numPr>
          <w:ilvl w:val="0"/>
          <w:numId w:val="32"/>
        </w:numPr>
        <w:jc w:val="both"/>
        <w:rPr>
          <w:rFonts w:ascii="Aptos Display" w:eastAsia="Arial Narrow" w:hAnsi="Aptos Display" w:cs="Arial Narrow"/>
          <w:b/>
          <w:bCs/>
          <w:sz w:val="24"/>
          <w:szCs w:val="24"/>
        </w:rPr>
      </w:pPr>
      <w:proofErr w:type="gramStart"/>
      <w:r w:rsidRPr="00CF6D97">
        <w:rPr>
          <w:rFonts w:ascii="Aptos Display" w:eastAsia="Arial Narrow" w:hAnsi="Aptos Display" w:cs="Arial Narrow"/>
          <w:b/>
          <w:bCs/>
          <w:sz w:val="24"/>
          <w:szCs w:val="24"/>
        </w:rPr>
        <w:t>registre</w:t>
      </w:r>
      <w:proofErr w:type="gramEnd"/>
      <w:r w:rsidRPr="00CF6D97">
        <w:rPr>
          <w:rFonts w:ascii="Aptos Display" w:eastAsia="Arial Narrow" w:hAnsi="Aptos Display" w:cs="Arial Narrow"/>
          <w:b/>
          <w:bCs/>
          <w:sz w:val="24"/>
          <w:szCs w:val="24"/>
        </w:rPr>
        <w:t xml:space="preserve"> de commerce (ou équivalent).</w:t>
      </w:r>
    </w:p>
    <w:p w14:paraId="6331B3A2" w14:textId="77777777" w:rsidR="001D0CD5" w:rsidRPr="001D0CD5" w:rsidRDefault="001D0CD5" w:rsidP="001D0CD5">
      <w:pPr>
        <w:jc w:val="both"/>
        <w:rPr>
          <w:rFonts w:ascii="Arial Narrow" w:hAnsi="Arial Narrow" w:cs="Arial"/>
          <w:b/>
          <w:bCs/>
          <w:i/>
          <w:iCs/>
          <w:color w:val="365F91" w:themeColor="accent1" w:themeShade="BF"/>
          <w:sz w:val="16"/>
          <w:szCs w:val="16"/>
          <w:u w:val="single"/>
        </w:rPr>
      </w:pPr>
    </w:p>
    <w:p w14:paraId="588C5CAC" w14:textId="7F4A5F29" w:rsidR="001D0CD5" w:rsidRPr="001D0CD5" w:rsidRDefault="00E57006" w:rsidP="001D0CD5">
      <w:pPr>
        <w:jc w:val="both"/>
        <w:rPr>
          <w:rFonts w:ascii="Arial Narrow" w:eastAsia="Arial" w:hAnsi="Arial Narrow" w:cs="Arial"/>
          <w:i/>
          <w:iCs/>
          <w:color w:val="365F91" w:themeColor="accent1" w:themeShade="BF"/>
          <w:sz w:val="24"/>
          <w:szCs w:val="24"/>
        </w:rPr>
      </w:pPr>
      <w:r w:rsidRPr="001D0CD5">
        <w:rPr>
          <w:rFonts w:ascii="Arial Narrow" w:hAnsi="Arial Narrow" w:cs="Arial"/>
          <w:b/>
          <w:bCs/>
          <w:i/>
          <w:iCs/>
          <w:color w:val="365F91" w:themeColor="accent1" w:themeShade="BF"/>
          <w:sz w:val="24"/>
          <w:szCs w:val="24"/>
          <w:u w:val="single"/>
        </w:rPr>
        <w:t>NB</w:t>
      </w:r>
      <w:r w:rsidRPr="001D0CD5">
        <w:rPr>
          <w:rFonts w:ascii="Arial Narrow" w:hAnsi="Arial Narrow" w:cs="Arial"/>
          <w:b/>
          <w:bCs/>
          <w:i/>
          <w:iCs/>
          <w:color w:val="365F91" w:themeColor="accent1" w:themeShade="BF"/>
          <w:sz w:val="24"/>
          <w:szCs w:val="24"/>
        </w:rPr>
        <w:t xml:space="preserve"> : </w:t>
      </w:r>
      <w:r w:rsidR="001D0CD5" w:rsidRPr="001D0CD5">
        <w:rPr>
          <w:rFonts w:ascii="Arial Narrow" w:eastAsia="Arial" w:hAnsi="Arial Narrow" w:cs="Arial"/>
          <w:i/>
          <w:iCs/>
          <w:color w:val="365F91" w:themeColor="accent1" w:themeShade="BF"/>
          <w:sz w:val="24"/>
          <w:szCs w:val="24"/>
        </w:rPr>
        <w:t xml:space="preserve"> </w:t>
      </w:r>
      <w:r w:rsidR="001D0CD5" w:rsidRPr="001D0CD5">
        <w:rPr>
          <w:rFonts w:ascii="Arial Narrow" w:eastAsia="Arial" w:hAnsi="Arial Narrow" w:cs="Arial"/>
          <w:b/>
          <w:bCs/>
          <w:i/>
          <w:iCs/>
          <w:color w:val="365F91" w:themeColor="accent1" w:themeShade="BF"/>
          <w:sz w:val="24"/>
          <w:szCs w:val="24"/>
        </w:rPr>
        <w:t>La taille maximale autorisée pour chaque courriel est de 5 Go</w:t>
      </w:r>
      <w:r w:rsidR="001D0CD5" w:rsidRPr="001D0CD5">
        <w:rPr>
          <w:rFonts w:ascii="Arial Narrow" w:eastAsia="Arial" w:hAnsi="Arial Narrow" w:cs="Arial"/>
          <w:i/>
          <w:iCs/>
          <w:color w:val="365F91" w:themeColor="accent1" w:themeShade="BF"/>
          <w:sz w:val="24"/>
          <w:szCs w:val="24"/>
        </w:rPr>
        <w:t xml:space="preserve">. </w:t>
      </w:r>
      <w:r w:rsidR="001D0CD5" w:rsidRPr="001D0CD5">
        <w:rPr>
          <w:rFonts w:ascii="Arial Narrow" w:eastAsia="Arial" w:hAnsi="Arial Narrow" w:cs="Arial"/>
          <w:b/>
          <w:bCs/>
          <w:i/>
          <w:iCs/>
          <w:color w:val="365F91" w:themeColor="accent1" w:themeShade="BF"/>
          <w:sz w:val="24"/>
          <w:szCs w:val="24"/>
        </w:rPr>
        <w:t>Lorsque la taille du dossier de soumission excède cette limite, le soumissionnaire est invité à transmettre son offre en plusieurs courriels distincts, en veillant à indiquer clairement dans l’objet de chaque message le numéro d’ordre de l’envoi ainsi que le nombre total de courriels composant la soumission</w:t>
      </w:r>
      <w:r w:rsidR="001D0CD5" w:rsidRPr="001D0CD5">
        <w:rPr>
          <w:rFonts w:ascii="Arial Narrow" w:eastAsia="Arial" w:hAnsi="Arial Narrow" w:cs="Arial"/>
          <w:i/>
          <w:iCs/>
          <w:color w:val="365F91" w:themeColor="accent1" w:themeShade="BF"/>
          <w:sz w:val="24"/>
          <w:szCs w:val="24"/>
        </w:rPr>
        <w:t xml:space="preserve"> (ex. : 1/3, 2/3, 3/3).</w:t>
      </w:r>
    </w:p>
    <w:p w14:paraId="4A5885D1" w14:textId="77777777" w:rsidR="001D0CD5" w:rsidRPr="001D0CD5" w:rsidRDefault="001D0CD5" w:rsidP="001D0CD5">
      <w:pPr>
        <w:jc w:val="both"/>
        <w:rPr>
          <w:rFonts w:ascii="Arial Narrow" w:eastAsia="Arial" w:hAnsi="Arial Narrow" w:cs="Arial"/>
          <w:i/>
          <w:iCs/>
          <w:color w:val="1A1A1A"/>
          <w:sz w:val="24"/>
          <w:szCs w:val="24"/>
        </w:rPr>
      </w:pPr>
    </w:p>
    <w:p w14:paraId="4475E4CB" w14:textId="1BCC1EE8" w:rsidR="00872529" w:rsidRPr="00CF6D97" w:rsidRDefault="00872529" w:rsidP="001D0CD5">
      <w:pPr>
        <w:jc w:val="both"/>
        <w:rPr>
          <w:rFonts w:ascii="Arial Narrow" w:eastAsia="Arial Narrow" w:hAnsi="Arial Narrow" w:cs="Arial Narrow"/>
          <w:b/>
          <w:bCs/>
          <w:vanish/>
          <w:sz w:val="24"/>
          <w:szCs w:val="24"/>
        </w:rPr>
      </w:pPr>
    </w:p>
    <w:p w14:paraId="7BB4319D" w14:textId="49D884E9" w:rsidR="00872529" w:rsidRPr="00CF6D97" w:rsidRDefault="00872529" w:rsidP="00872529">
      <w:pPr>
        <w:numPr>
          <w:ilvl w:val="1"/>
          <w:numId w:val="28"/>
        </w:numPr>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Préparation de la soumission et informations complémentaires</w:t>
      </w:r>
    </w:p>
    <w:p w14:paraId="4AE0409B"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Pour la préparation de leur soumission et pour toutes informations complémentaires, les soumissionnaires peuvent s'adresser au GIM-UEMOA à travers les contacts ci-après :</w:t>
      </w:r>
    </w:p>
    <w:p w14:paraId="181B5BCB" w14:textId="77777777" w:rsidR="00872529" w:rsidRPr="00CF6D97" w:rsidRDefault="00872529" w:rsidP="00872529">
      <w:pPr>
        <w:spacing w:after="0"/>
        <w:ind w:left="708" w:firstLine="426"/>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Groupement Interbancaire Monétique de l'UEMOA (GIM-UEMOA)</w:t>
      </w:r>
      <w:r w:rsidRPr="00CF6D97">
        <w:rPr>
          <w:rFonts w:ascii="Arial Narrow" w:eastAsia="Arial Narrow" w:hAnsi="Arial Narrow" w:cs="Arial Narrow"/>
          <w:b/>
          <w:bCs/>
          <w:sz w:val="24"/>
          <w:szCs w:val="24"/>
        </w:rPr>
        <w:tab/>
      </w:r>
    </w:p>
    <w:p w14:paraId="6C9D3A48" w14:textId="77777777" w:rsidR="00872529" w:rsidRPr="00CF6D97" w:rsidRDefault="00872529" w:rsidP="00872529">
      <w:pPr>
        <w:spacing w:after="0"/>
        <w:ind w:left="708" w:firstLine="426"/>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 xml:space="preserve">Almadies, Immeuble Hermès non loin de Fana Hôtel, Zone 9 Lot G </w:t>
      </w:r>
    </w:p>
    <w:p w14:paraId="66D1DD8E" w14:textId="77777777" w:rsidR="00872529" w:rsidRPr="00CF6D97" w:rsidRDefault="00872529" w:rsidP="00872529">
      <w:pPr>
        <w:spacing w:after="0"/>
        <w:ind w:left="708" w:firstLine="426"/>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Boîte Postale : 8853 Dakar Yoff (Sénégal)</w:t>
      </w:r>
    </w:p>
    <w:p w14:paraId="1C2D851A" w14:textId="77777777" w:rsidR="00872529" w:rsidRPr="00CF6D97" w:rsidRDefault="00872529" w:rsidP="00872529">
      <w:pPr>
        <w:spacing w:after="0"/>
        <w:ind w:left="708" w:firstLine="426"/>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Tél. : (221) 33 869 95 95 – Fax : (221) 33 820 54 65</w:t>
      </w:r>
    </w:p>
    <w:p w14:paraId="1957FB3B" w14:textId="77777777" w:rsidR="00872529" w:rsidRPr="00CF6D97" w:rsidRDefault="00872529" w:rsidP="00872529">
      <w:pPr>
        <w:spacing w:after="0"/>
        <w:ind w:left="708" w:firstLine="426"/>
        <w:jc w:val="both"/>
        <w:rPr>
          <w:rFonts w:ascii="Arial Narrow" w:eastAsia="Arial Narrow" w:hAnsi="Arial Narrow" w:cs="Arial Narrow"/>
          <w:b/>
          <w:bCs/>
          <w:color w:val="0563C1"/>
          <w:sz w:val="24"/>
          <w:szCs w:val="24"/>
          <w:u w:val="single"/>
        </w:rPr>
      </w:pPr>
      <w:proofErr w:type="gramStart"/>
      <w:r w:rsidRPr="00CF6D97">
        <w:rPr>
          <w:rFonts w:ascii="Arial Narrow" w:eastAsia="Arial Narrow" w:hAnsi="Arial Narrow" w:cs="Arial Narrow"/>
          <w:b/>
          <w:bCs/>
          <w:sz w:val="24"/>
          <w:szCs w:val="24"/>
        </w:rPr>
        <w:t>E-mail</w:t>
      </w:r>
      <w:proofErr w:type="gramEnd"/>
      <w:r w:rsidRPr="00CF6D97">
        <w:rPr>
          <w:rFonts w:ascii="Arial Narrow" w:eastAsia="Arial Narrow" w:hAnsi="Arial Narrow" w:cs="Arial Narrow"/>
          <w:b/>
          <w:bCs/>
          <w:sz w:val="24"/>
          <w:szCs w:val="24"/>
        </w:rPr>
        <w:t xml:space="preserve"> : </w:t>
      </w:r>
      <w:hyperlink r:id="rId9">
        <w:r w:rsidRPr="00CF6D97">
          <w:rPr>
            <w:rFonts w:ascii="Arial Narrow" w:eastAsia="Arial Narrow" w:hAnsi="Arial Narrow" w:cs="Arial Narrow"/>
            <w:b/>
            <w:bCs/>
            <w:color w:val="0563C1"/>
            <w:sz w:val="24"/>
            <w:szCs w:val="24"/>
            <w:u w:val="single"/>
          </w:rPr>
          <w:t>offres@gim-uemoa.org</w:t>
        </w:r>
      </w:hyperlink>
      <w:r w:rsidRPr="00CF6D97">
        <w:rPr>
          <w:rFonts w:ascii="Arial Narrow" w:eastAsia="Arial Narrow" w:hAnsi="Arial Narrow" w:cs="Arial Narrow"/>
          <w:b/>
          <w:bCs/>
          <w:sz w:val="24"/>
          <w:szCs w:val="24"/>
        </w:rPr>
        <w:t xml:space="preserve"> ; Site internet : </w:t>
      </w:r>
      <w:hyperlink r:id="rId10">
        <w:r w:rsidRPr="00CF6D97">
          <w:rPr>
            <w:rFonts w:ascii="Arial Narrow" w:eastAsia="Arial Narrow" w:hAnsi="Arial Narrow" w:cs="Arial Narrow"/>
            <w:b/>
            <w:bCs/>
            <w:color w:val="0563C1"/>
            <w:sz w:val="24"/>
            <w:szCs w:val="24"/>
            <w:u w:val="single"/>
          </w:rPr>
          <w:t>www.gim-uemoa.org</w:t>
        </w:r>
      </w:hyperlink>
      <w:r w:rsidRPr="00CF6D97">
        <w:rPr>
          <w:rFonts w:ascii="Arial Narrow" w:eastAsia="Arial Narrow" w:hAnsi="Arial Narrow" w:cs="Arial Narrow"/>
          <w:b/>
          <w:bCs/>
          <w:sz w:val="24"/>
          <w:szCs w:val="24"/>
        </w:rPr>
        <w:t xml:space="preserve"> </w:t>
      </w:r>
    </w:p>
    <w:p w14:paraId="2F1CD0E5" w14:textId="77777777" w:rsidR="00D152F2" w:rsidRPr="00CF6D97" w:rsidRDefault="00D152F2" w:rsidP="00D152F2">
      <w:pPr>
        <w:jc w:val="both"/>
        <w:rPr>
          <w:rFonts w:ascii="Arial Narrow" w:hAnsi="Arial Narrow" w:cs="Arial"/>
          <w:sz w:val="24"/>
          <w:szCs w:val="24"/>
        </w:rPr>
      </w:pPr>
    </w:p>
    <w:p w14:paraId="4B98200E" w14:textId="77777777" w:rsidR="00872529" w:rsidRPr="00CF6D97" w:rsidRDefault="00872529" w:rsidP="00872529">
      <w:pPr>
        <w:numPr>
          <w:ilvl w:val="1"/>
          <w:numId w:val="28"/>
        </w:numPr>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Validité des offres</w:t>
      </w:r>
    </w:p>
    <w:p w14:paraId="261285E4"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Le soumissionnaire reste engagé par son offre pendant une durée de quatre-vingt-dix (90) jours.</w:t>
      </w:r>
    </w:p>
    <w:p w14:paraId="2FA73646" w14:textId="77777777" w:rsidR="00872529" w:rsidRDefault="00872529" w:rsidP="00872529">
      <w:pPr>
        <w:jc w:val="both"/>
        <w:rPr>
          <w:rFonts w:ascii="Arial Narrow" w:eastAsia="Arial Narrow" w:hAnsi="Arial Narrow" w:cs="Arial Narrow"/>
          <w:sz w:val="24"/>
          <w:szCs w:val="24"/>
        </w:rPr>
      </w:pPr>
    </w:p>
    <w:p w14:paraId="318DD3D5" w14:textId="77777777" w:rsidR="001D0CD5" w:rsidRPr="00CF6D97" w:rsidRDefault="001D0CD5" w:rsidP="00872529">
      <w:pPr>
        <w:jc w:val="both"/>
        <w:rPr>
          <w:rFonts w:ascii="Arial Narrow" w:eastAsia="Arial Narrow" w:hAnsi="Arial Narrow" w:cs="Arial Narrow"/>
          <w:sz w:val="24"/>
          <w:szCs w:val="24"/>
        </w:rPr>
      </w:pPr>
    </w:p>
    <w:p w14:paraId="3CD9E8FB" w14:textId="77777777" w:rsidR="00872529" w:rsidRPr="00CF6D97" w:rsidRDefault="00872529" w:rsidP="00872529">
      <w:pPr>
        <w:numPr>
          <w:ilvl w:val="1"/>
          <w:numId w:val="28"/>
        </w:numPr>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lastRenderedPageBreak/>
        <w:t>Conditions financières</w:t>
      </w:r>
    </w:p>
    <w:p w14:paraId="0ECBBEF3"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 xml:space="preserve">Le prix définitif ainsi que les conditions de paiement des prestations seront discutés d’accord parties. </w:t>
      </w:r>
    </w:p>
    <w:p w14:paraId="39693AFB"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 xml:space="preserve">Toutefois, il est porté à la connaissance des soumissionnaires que les paiements seront fractionnés et ne seront effectués que </w:t>
      </w:r>
      <w:proofErr w:type="gramStart"/>
      <w:r w:rsidRPr="00CF6D97">
        <w:rPr>
          <w:rFonts w:ascii="Arial Narrow" w:eastAsia="Arial Narrow" w:hAnsi="Arial Narrow" w:cs="Arial Narrow"/>
          <w:sz w:val="24"/>
          <w:szCs w:val="24"/>
        </w:rPr>
        <w:t>suite à</w:t>
      </w:r>
      <w:proofErr w:type="gramEnd"/>
      <w:r w:rsidRPr="00CF6D97">
        <w:rPr>
          <w:rFonts w:ascii="Arial Narrow" w:eastAsia="Arial Narrow" w:hAnsi="Arial Narrow" w:cs="Arial Narrow"/>
          <w:sz w:val="24"/>
          <w:szCs w:val="24"/>
        </w:rPr>
        <w:t xml:space="preserve"> la validation de chaque livrable conformément au calendrier de réalisation de l’étude.</w:t>
      </w:r>
    </w:p>
    <w:p w14:paraId="15088CB2"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 xml:space="preserve">Dans l’hypothèse où une avance de démarrage est sollicitée par le soumissionnaire retenu, celle-ci ne pourra excéder trente pour cent (30%) du montant total du marché. </w:t>
      </w:r>
    </w:p>
    <w:p w14:paraId="040A5685" w14:textId="77777777" w:rsidR="00872529" w:rsidRPr="00CF6D97" w:rsidRDefault="00872529" w:rsidP="00872529">
      <w:pPr>
        <w:jc w:val="both"/>
        <w:rPr>
          <w:rFonts w:ascii="Arial Narrow" w:eastAsia="Arial Narrow" w:hAnsi="Arial Narrow" w:cs="Arial Narrow"/>
          <w:sz w:val="24"/>
          <w:szCs w:val="24"/>
        </w:rPr>
      </w:pPr>
      <w:r w:rsidRPr="00CF6D97">
        <w:rPr>
          <w:rFonts w:ascii="Arial Narrow" w:eastAsia="Arial Narrow" w:hAnsi="Arial Narrow" w:cs="Arial Narrow"/>
          <w:sz w:val="24"/>
          <w:szCs w:val="24"/>
        </w:rPr>
        <w:t xml:space="preserve">L’avance de démarrage devra être couverte à cent pour cent (100%) par une lettre de garantie délivrée par un établissement de crédit agréé par la BCEAO si le titulaire est une personne morale, ou une caution si le titulaire est une personne physique. </w:t>
      </w:r>
    </w:p>
    <w:p w14:paraId="1BA5D53B" w14:textId="77777777" w:rsidR="00872529" w:rsidRPr="00CF6D97" w:rsidRDefault="00872529" w:rsidP="00872529">
      <w:pPr>
        <w:jc w:val="both"/>
        <w:rPr>
          <w:rFonts w:ascii="Arial Narrow" w:eastAsia="Arial Narrow" w:hAnsi="Arial Narrow" w:cs="Arial Narrow"/>
          <w:b/>
          <w:bCs/>
          <w:sz w:val="24"/>
          <w:szCs w:val="24"/>
        </w:rPr>
      </w:pPr>
      <w:r w:rsidRPr="00CF6D97">
        <w:rPr>
          <w:rFonts w:ascii="Arial Narrow" w:eastAsia="Arial Narrow" w:hAnsi="Arial Narrow" w:cs="Arial Narrow"/>
          <w:b/>
          <w:bCs/>
          <w:sz w:val="24"/>
          <w:szCs w:val="24"/>
        </w:rPr>
        <w:t>La durée de validité de cette garantie ou caution devra être prorogée à son expiration, en cas de non-exécution du marché à hauteur du montant versé au titre de l’avance.</w:t>
      </w:r>
    </w:p>
    <w:p w14:paraId="20164C0C" w14:textId="77777777" w:rsidR="00AF484A" w:rsidRPr="00CF6D97" w:rsidRDefault="00281350">
      <w:pPr>
        <w:numPr>
          <w:ilvl w:val="0"/>
          <w:numId w:val="26"/>
        </w:numPr>
        <w:jc w:val="both"/>
        <w:rPr>
          <w:rFonts w:ascii="Arial Narrow" w:hAnsi="Arial Narrow" w:cs="Arial"/>
          <w:b/>
          <w:bCs/>
          <w:sz w:val="24"/>
          <w:szCs w:val="24"/>
        </w:rPr>
      </w:pPr>
      <w:r w:rsidRPr="00CF6D97">
        <w:rPr>
          <w:rFonts w:ascii="Arial Narrow" w:hAnsi="Arial Narrow" w:cs="Arial"/>
          <w:b/>
          <w:bCs/>
          <w:sz w:val="24"/>
          <w:szCs w:val="24"/>
        </w:rPr>
        <w:t>Délai de dépôt</w:t>
      </w:r>
    </w:p>
    <w:p w14:paraId="74958B32" w14:textId="4556B08F" w:rsidR="00AF484A" w:rsidRPr="00CF6D97" w:rsidRDefault="00281350">
      <w:pPr>
        <w:pStyle w:val="Default"/>
        <w:spacing w:before="120"/>
        <w:jc w:val="both"/>
        <w:rPr>
          <w:rFonts w:ascii="Arial Narrow" w:hAnsi="Arial Narrow"/>
          <w:color w:val="auto"/>
        </w:rPr>
      </w:pPr>
      <w:r w:rsidRPr="00CF6D97">
        <w:rPr>
          <w:rFonts w:ascii="Arial Narrow" w:hAnsi="Arial Narrow"/>
          <w:color w:val="auto"/>
        </w:rPr>
        <w:t>La date limite de réception des offres est fixée au</w:t>
      </w:r>
      <w:r w:rsidRPr="00CF6D97">
        <w:rPr>
          <w:rFonts w:ascii="Arial Narrow" w:hAnsi="Arial Narrow"/>
          <w:b/>
          <w:bCs/>
          <w:color w:val="FF0000"/>
          <w:u w:val="single"/>
        </w:rPr>
        <w:t xml:space="preserve"> 2</w:t>
      </w:r>
      <w:r w:rsidR="00DB6018" w:rsidRPr="00CF6D97">
        <w:rPr>
          <w:rFonts w:ascii="Arial Narrow" w:hAnsi="Arial Narrow"/>
          <w:b/>
          <w:bCs/>
          <w:color w:val="FF0000"/>
          <w:u w:val="single"/>
        </w:rPr>
        <w:t>9</w:t>
      </w:r>
      <w:r w:rsidRPr="00CF6D97">
        <w:rPr>
          <w:rFonts w:ascii="Arial Narrow" w:hAnsi="Arial Narrow"/>
          <w:b/>
          <w:bCs/>
          <w:color w:val="FF0000"/>
          <w:u w:val="single"/>
        </w:rPr>
        <w:t xml:space="preserve"> juin 2026 à 16 heures TU (GMT)</w:t>
      </w:r>
      <w:r w:rsidRPr="00CF6D97">
        <w:rPr>
          <w:rFonts w:ascii="Arial Narrow" w:hAnsi="Arial Narrow"/>
          <w:color w:val="auto"/>
        </w:rPr>
        <w:t>. Toute offre parvenue après la date et l’heure limites indiquées sera considérée comme irrecevable et retournée en l’état au soumissionnaire.</w:t>
      </w:r>
    </w:p>
    <w:p w14:paraId="0DCA97C4" w14:textId="3243F464" w:rsidR="006A1843" w:rsidRPr="00CF6D97" w:rsidRDefault="006A1843" w:rsidP="006A1843">
      <w:pPr>
        <w:pStyle w:val="Default"/>
        <w:spacing w:before="120"/>
        <w:jc w:val="both"/>
        <w:rPr>
          <w:rFonts w:ascii="Arial Narrow" w:hAnsi="Arial Narrow"/>
          <w:color w:val="auto"/>
        </w:rPr>
      </w:pPr>
      <w:r w:rsidRPr="00CF6D97">
        <w:rPr>
          <w:rFonts w:ascii="Arial Narrow" w:hAnsi="Arial Narrow"/>
          <w:color w:val="auto"/>
        </w:rPr>
        <w:t>Tout soumissionnaire souhaitant obtenir des informations complémentaires sur les termes de référence peut en faire la demande par écrit à l’adresse indiquée à l’alinéa 1er ci-dessus.</w:t>
      </w:r>
    </w:p>
    <w:p w14:paraId="302CDFD2" w14:textId="77777777" w:rsidR="006A1843" w:rsidRPr="00CF6D97" w:rsidRDefault="006A1843" w:rsidP="006A1843">
      <w:pPr>
        <w:pStyle w:val="Default"/>
        <w:spacing w:before="120"/>
        <w:jc w:val="both"/>
        <w:rPr>
          <w:rFonts w:ascii="Arial Narrow" w:hAnsi="Arial Narrow"/>
          <w:color w:val="auto"/>
        </w:rPr>
      </w:pPr>
      <w:r w:rsidRPr="00CF6D97">
        <w:rPr>
          <w:rFonts w:ascii="Arial Narrow" w:hAnsi="Arial Narrow"/>
          <w:color w:val="auto"/>
        </w:rPr>
        <w:t>Une réponse écrite sera communiquée au soumissionnaire pour les demandes d’informations complémentaires jugées pertinentes par le GIM-UEMOA.</w:t>
      </w:r>
    </w:p>
    <w:p w14:paraId="449335CF" w14:textId="77777777" w:rsidR="006A1843" w:rsidRPr="00CF6D97" w:rsidRDefault="006A1843" w:rsidP="006A1843">
      <w:pPr>
        <w:pStyle w:val="Default"/>
        <w:spacing w:before="120"/>
        <w:jc w:val="both"/>
        <w:rPr>
          <w:rFonts w:ascii="Arial Narrow" w:hAnsi="Arial Narrow"/>
          <w:color w:val="auto"/>
        </w:rPr>
      </w:pPr>
      <w:r w:rsidRPr="00CF6D97">
        <w:rPr>
          <w:rFonts w:ascii="Arial Narrow" w:hAnsi="Arial Narrow"/>
          <w:color w:val="auto"/>
        </w:rPr>
        <w:t>Le GIM-UEMOA se réserve le droit de modifier le dossier d’appel à concurrence par voie d’additifs, à son initiative ou en réponse à une demande d’information complémentaire formulée par un soumissionnaire.</w:t>
      </w:r>
    </w:p>
    <w:p w14:paraId="5E841AB7" w14:textId="77777777" w:rsidR="006A1843" w:rsidRPr="00CF6D97" w:rsidRDefault="006A1843" w:rsidP="006A1843">
      <w:pPr>
        <w:pStyle w:val="Default"/>
        <w:spacing w:before="120"/>
        <w:jc w:val="both"/>
        <w:rPr>
          <w:rFonts w:ascii="Arial Narrow" w:hAnsi="Arial Narrow"/>
          <w:color w:val="auto"/>
        </w:rPr>
      </w:pPr>
      <w:r w:rsidRPr="00CF6D97">
        <w:rPr>
          <w:rFonts w:ascii="Arial Narrow" w:hAnsi="Arial Narrow"/>
          <w:color w:val="auto"/>
        </w:rPr>
        <w:t>Par conséquent, la modification du dossier d’appel à concurrence peut donner lieu à une prolongation de la date limite de dépôt des offres. Les obligations des soumissionnaires précédemment régies par la date limite initialement arrêtée seront régies par la nouvelle date limite.</w:t>
      </w:r>
    </w:p>
    <w:p w14:paraId="1C83F7EA" w14:textId="77777777" w:rsidR="006A1843" w:rsidRPr="00CF6D97" w:rsidRDefault="006A1843">
      <w:pPr>
        <w:pStyle w:val="Default"/>
        <w:spacing w:before="120"/>
        <w:jc w:val="both"/>
        <w:rPr>
          <w:rFonts w:ascii="Arial Narrow" w:hAnsi="Arial Narrow"/>
          <w:color w:val="auto"/>
        </w:rPr>
      </w:pPr>
    </w:p>
    <w:p w14:paraId="1BBB8BB6" w14:textId="77777777" w:rsidR="00AF484A" w:rsidRPr="00CF6D97" w:rsidRDefault="00281350">
      <w:pPr>
        <w:numPr>
          <w:ilvl w:val="0"/>
          <w:numId w:val="26"/>
        </w:numPr>
        <w:jc w:val="both"/>
        <w:rPr>
          <w:rFonts w:ascii="Arial Narrow" w:hAnsi="Arial Narrow" w:cs="Arial"/>
          <w:b/>
          <w:bCs/>
          <w:sz w:val="24"/>
          <w:szCs w:val="24"/>
        </w:rPr>
      </w:pPr>
      <w:r w:rsidRPr="00CF6D97">
        <w:rPr>
          <w:rFonts w:ascii="Arial Narrow" w:hAnsi="Arial Narrow" w:cs="Arial"/>
          <w:b/>
          <w:bCs/>
          <w:sz w:val="24"/>
          <w:szCs w:val="24"/>
        </w:rPr>
        <w:t>Conditions financières</w:t>
      </w:r>
    </w:p>
    <w:p w14:paraId="08B8612A"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Les paiements seront fractionnés et effectués uniquement après validation de chaque livrable conformément au calendrier de réalisation de la mission. Une avance de démarrage pourra être accordée dans la limite de 30% du montant total du marché, sous réserve de la fourniture d'une lettre de garantie délivrée par un établissement de crédit de l'UEMOA agréé.</w:t>
      </w:r>
    </w:p>
    <w:p w14:paraId="54D4D1F2" w14:textId="77777777" w:rsidR="00AF484A" w:rsidRPr="00CF6D97" w:rsidRDefault="00281350">
      <w:pPr>
        <w:spacing w:after="0"/>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Les variations maximales de prix en cas d'augmentation ou de réduction du volume des travaux ne peuvent dépasser 30% du montant du marché initial.</w:t>
      </w:r>
    </w:p>
    <w:p w14:paraId="4AAA05E9" w14:textId="77777777" w:rsidR="00AF484A" w:rsidRPr="00CF6D97" w:rsidRDefault="00AF484A">
      <w:pPr>
        <w:ind w:left="720"/>
        <w:jc w:val="both"/>
        <w:rPr>
          <w:rFonts w:ascii="Arial Narrow" w:hAnsi="Arial Narrow" w:cs="Arial"/>
          <w:sz w:val="24"/>
          <w:szCs w:val="24"/>
        </w:rPr>
      </w:pPr>
    </w:p>
    <w:p w14:paraId="493C2219" w14:textId="77777777" w:rsidR="00AF484A" w:rsidRPr="00CF6D97" w:rsidRDefault="00281350">
      <w:pPr>
        <w:numPr>
          <w:ilvl w:val="0"/>
          <w:numId w:val="26"/>
        </w:numPr>
        <w:jc w:val="both"/>
        <w:rPr>
          <w:rFonts w:ascii="Arial Narrow" w:hAnsi="Arial Narrow" w:cs="Arial"/>
          <w:b/>
          <w:bCs/>
          <w:sz w:val="24"/>
          <w:szCs w:val="24"/>
        </w:rPr>
      </w:pPr>
      <w:r w:rsidRPr="00CF6D97">
        <w:rPr>
          <w:rFonts w:ascii="Arial Narrow" w:hAnsi="Arial Narrow" w:cs="Arial"/>
          <w:b/>
          <w:bCs/>
          <w:sz w:val="24"/>
          <w:szCs w:val="24"/>
        </w:rPr>
        <w:t>Validité de l’offre</w:t>
      </w:r>
    </w:p>
    <w:p w14:paraId="48B234D4"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Le soumissionnaire reste engagé par son offre pendant une durée de quatre-vingt-dix (90) jours.</w:t>
      </w:r>
    </w:p>
    <w:p w14:paraId="6E1529E4" w14:textId="77777777" w:rsidR="00AF484A" w:rsidRPr="00CF6D97" w:rsidRDefault="00AF484A">
      <w:pPr>
        <w:ind w:left="720"/>
        <w:jc w:val="both"/>
        <w:rPr>
          <w:rFonts w:ascii="Arial Narrow" w:hAnsi="Arial Narrow"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2"/>
      </w:tblGrid>
      <w:tr w:rsidR="00AF484A" w:rsidRPr="00CF6D97" w14:paraId="052191AF" w14:textId="77777777">
        <w:trPr>
          <w:trHeight w:val="397"/>
        </w:trPr>
        <w:tc>
          <w:tcPr>
            <w:tcW w:w="10762" w:type="dxa"/>
            <w:tcBorders>
              <w:top w:val="single" w:sz="8" w:space="0" w:color="283478"/>
              <w:left w:val="thinThickThinSmallGap" w:sz="24" w:space="0" w:color="FBBB21"/>
              <w:bottom w:val="single" w:sz="8" w:space="0" w:color="283478"/>
              <w:right w:val="single" w:sz="8" w:space="0" w:color="283478"/>
            </w:tcBorders>
            <w:vAlign w:val="center"/>
          </w:tcPr>
          <w:p w14:paraId="3F4482E0" w14:textId="77777777" w:rsidR="00AF484A" w:rsidRPr="00CF6D97" w:rsidRDefault="00281350" w:rsidP="008265EC">
            <w:pPr>
              <w:numPr>
                <w:ilvl w:val="0"/>
                <w:numId w:val="29"/>
              </w:numPr>
              <w:rPr>
                <w:rFonts w:ascii="Arial Narrow" w:hAnsi="Arial Narrow" w:cs="Arial"/>
                <w:b/>
                <w:color w:val="283478"/>
                <w:sz w:val="24"/>
                <w:szCs w:val="24"/>
              </w:rPr>
            </w:pPr>
            <w:r w:rsidRPr="00CF6D97">
              <w:rPr>
                <w:rFonts w:ascii="Arial Narrow" w:hAnsi="Arial Narrow" w:cs="Arial"/>
                <w:b/>
                <w:color w:val="283478"/>
                <w:sz w:val="24"/>
                <w:szCs w:val="24"/>
              </w:rPr>
              <w:lastRenderedPageBreak/>
              <w:t xml:space="preserve">DISPOSITIONS FINALES </w:t>
            </w:r>
          </w:p>
        </w:tc>
      </w:tr>
    </w:tbl>
    <w:p w14:paraId="695860A0" w14:textId="77777777" w:rsidR="00AF484A" w:rsidRPr="00CF6D97" w:rsidRDefault="00AF484A">
      <w:pPr>
        <w:ind w:left="720"/>
        <w:jc w:val="both"/>
        <w:rPr>
          <w:rFonts w:ascii="Arial Narrow" w:hAnsi="Arial Narrow" w:cs="Arial"/>
          <w:b/>
          <w:color w:val="283478"/>
          <w:sz w:val="24"/>
          <w:szCs w:val="24"/>
        </w:rPr>
      </w:pPr>
    </w:p>
    <w:p w14:paraId="323C89CC" w14:textId="48A831DF" w:rsidR="0022499E" w:rsidRPr="00CF6D97" w:rsidRDefault="0022499E">
      <w:pPr>
        <w:numPr>
          <w:ilvl w:val="0"/>
          <w:numId w:val="27"/>
        </w:numPr>
        <w:jc w:val="both"/>
        <w:rPr>
          <w:rFonts w:ascii="Arial Narrow" w:hAnsi="Arial Narrow" w:cs="Arial"/>
          <w:b/>
          <w:bCs/>
          <w:sz w:val="24"/>
          <w:szCs w:val="24"/>
        </w:rPr>
      </w:pPr>
      <w:r w:rsidRPr="00CF6D97">
        <w:rPr>
          <w:rFonts w:ascii="Arial Narrow" w:hAnsi="Arial Narrow" w:cs="Arial"/>
          <w:b/>
          <w:bCs/>
          <w:sz w:val="24"/>
          <w:szCs w:val="24"/>
        </w:rPr>
        <w:t>Contrôle</w:t>
      </w:r>
    </w:p>
    <w:p w14:paraId="170F12E3" w14:textId="77777777" w:rsidR="0022499E" w:rsidRPr="00CF6D97" w:rsidRDefault="0022499E" w:rsidP="0022499E">
      <w:pPr>
        <w:tabs>
          <w:tab w:val="left" w:pos="1440"/>
        </w:tabs>
        <w:spacing w:before="120" w:after="120" w:line="360" w:lineRule="auto"/>
        <w:jc w:val="both"/>
        <w:rPr>
          <w:rFonts w:ascii="Arial Narrow" w:eastAsia="Arial Narrow" w:hAnsi="Arial Narrow" w:cs="Arial Narrow"/>
          <w:color w:val="000000"/>
          <w:sz w:val="24"/>
          <w:szCs w:val="24"/>
        </w:rPr>
      </w:pPr>
      <w:r w:rsidRPr="00CF6D97">
        <w:rPr>
          <w:rFonts w:ascii="Arial Narrow" w:eastAsia="Arial Narrow" w:hAnsi="Arial Narrow" w:cs="Arial Narrow"/>
          <w:color w:val="000000"/>
          <w:sz w:val="24"/>
          <w:szCs w:val="24"/>
        </w:rPr>
        <w:t>Le fournisseur sélectionné sera soumis à une procédure d’évaluation si le type de prestation fournie fait partie du domaine d’application de la procédure d’évaluation des fournisseurs en vigueur au niveau du GIM-UEMOA.</w:t>
      </w:r>
    </w:p>
    <w:p w14:paraId="684D7C11" w14:textId="5A5CB946" w:rsidR="00AF484A" w:rsidRPr="00CF6D97" w:rsidRDefault="00281350">
      <w:pPr>
        <w:numPr>
          <w:ilvl w:val="0"/>
          <w:numId w:val="27"/>
        </w:numPr>
        <w:jc w:val="both"/>
        <w:rPr>
          <w:rFonts w:ascii="Arial Narrow" w:hAnsi="Arial Narrow" w:cs="Arial"/>
          <w:b/>
          <w:bCs/>
          <w:sz w:val="24"/>
          <w:szCs w:val="24"/>
        </w:rPr>
      </w:pPr>
      <w:r w:rsidRPr="00CF6D97">
        <w:rPr>
          <w:rFonts w:ascii="Arial Narrow" w:hAnsi="Arial Narrow" w:cs="Arial"/>
          <w:b/>
          <w:bCs/>
          <w:sz w:val="24"/>
          <w:szCs w:val="24"/>
        </w:rPr>
        <w:t>Recours</w:t>
      </w:r>
    </w:p>
    <w:p w14:paraId="0713B330"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Tout candidat peut former un recours gracieux par écrit adressé au GIM-UEMOA dans un délai maximum de cinq (5) jours ouvrés à compter de la réception de la notification de l'appel à concurrence. Le délai de réponse du GIM-UEMOA est de dix (10) jours ouvrés maximum. Passé ce délai sans réponse, le recours est considéré comme rejeté.</w:t>
      </w:r>
    </w:p>
    <w:p w14:paraId="6A106DF6" w14:textId="77777777" w:rsidR="00AF484A" w:rsidRPr="00CF6D97" w:rsidRDefault="00AF484A">
      <w:pPr>
        <w:ind w:left="720"/>
        <w:jc w:val="both"/>
        <w:rPr>
          <w:rFonts w:ascii="Arial Narrow" w:hAnsi="Arial Narrow" w:cs="Arial"/>
          <w:sz w:val="24"/>
          <w:szCs w:val="24"/>
        </w:rPr>
      </w:pPr>
    </w:p>
    <w:p w14:paraId="060DB57A" w14:textId="77777777" w:rsidR="00AF484A" w:rsidRPr="00CF6D97" w:rsidRDefault="00281350">
      <w:pPr>
        <w:numPr>
          <w:ilvl w:val="0"/>
          <w:numId w:val="27"/>
        </w:numPr>
        <w:jc w:val="both"/>
        <w:rPr>
          <w:rFonts w:ascii="Arial Narrow" w:hAnsi="Arial Narrow" w:cs="Arial"/>
          <w:b/>
          <w:bCs/>
          <w:sz w:val="24"/>
          <w:szCs w:val="24"/>
        </w:rPr>
      </w:pPr>
      <w:r w:rsidRPr="00CF6D97">
        <w:rPr>
          <w:rFonts w:ascii="Arial Narrow" w:hAnsi="Arial Narrow" w:cs="Arial"/>
          <w:b/>
          <w:bCs/>
          <w:sz w:val="24"/>
          <w:szCs w:val="24"/>
        </w:rPr>
        <w:t>Confidentialité</w:t>
      </w:r>
    </w:p>
    <w:p w14:paraId="4FC45D12"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En recevant le présent dossier de consultation, le soumissionnaire en reconnaît la confidentialité et l'exclusivité de son contenu. Il s'engage à protéger les informations communiquées par le GIM-UEMOA, à ne les divulguer qu'aux seuls membres de son personnel ayant à les connaître, et à ne les utiliser qu'aux seules fins de la présente consultation.</w:t>
      </w:r>
    </w:p>
    <w:p w14:paraId="1AB6F41D" w14:textId="77777777" w:rsidR="00AF484A" w:rsidRPr="00CF6D97" w:rsidRDefault="00AF484A">
      <w:pPr>
        <w:ind w:left="720"/>
        <w:jc w:val="both"/>
        <w:rPr>
          <w:rFonts w:ascii="Arial Narrow" w:hAnsi="Arial Narrow" w:cs="Arial"/>
          <w:sz w:val="24"/>
          <w:szCs w:val="24"/>
        </w:rPr>
      </w:pPr>
    </w:p>
    <w:p w14:paraId="770EA7CD" w14:textId="77777777" w:rsidR="00AF484A" w:rsidRPr="00CF6D97" w:rsidRDefault="00281350">
      <w:pPr>
        <w:numPr>
          <w:ilvl w:val="0"/>
          <w:numId w:val="27"/>
        </w:numPr>
        <w:jc w:val="both"/>
        <w:rPr>
          <w:rFonts w:ascii="Arial Narrow" w:hAnsi="Arial Narrow" w:cs="Arial"/>
          <w:b/>
          <w:bCs/>
          <w:sz w:val="24"/>
          <w:szCs w:val="24"/>
        </w:rPr>
      </w:pPr>
      <w:r w:rsidRPr="00CF6D97">
        <w:rPr>
          <w:rFonts w:ascii="Arial Narrow" w:hAnsi="Arial Narrow" w:cs="Arial"/>
          <w:b/>
          <w:bCs/>
          <w:sz w:val="24"/>
          <w:szCs w:val="24"/>
        </w:rPr>
        <w:t>Réserves du GIM-UEMOA</w:t>
      </w:r>
    </w:p>
    <w:p w14:paraId="780B98FB"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 xml:space="preserve">Le GIM-UEMOA se réserve le droit d'ajourner la présente mission si les circonstances l'exigent, sans être tenu de faire connaître les motifs de sa décision, et sans qu'il puisse en résulter une quelconque responsabilité à son égard. Le GIM-UEMOA n'est pas tenu d'accepter la proposition la moins </w:t>
      </w:r>
      <w:proofErr w:type="spellStart"/>
      <w:r w:rsidRPr="00CF6D97">
        <w:rPr>
          <w:rFonts w:ascii="Arial Narrow" w:eastAsia="Arial" w:hAnsi="Arial Narrow" w:cs="Arial"/>
          <w:color w:val="1A1A1A"/>
          <w:sz w:val="24"/>
          <w:szCs w:val="24"/>
        </w:rPr>
        <w:t>disante</w:t>
      </w:r>
      <w:proofErr w:type="spellEnd"/>
      <w:r w:rsidRPr="00CF6D97">
        <w:rPr>
          <w:rFonts w:ascii="Arial Narrow" w:eastAsia="Arial" w:hAnsi="Arial Narrow" w:cs="Arial"/>
          <w:color w:val="1A1A1A"/>
          <w:sz w:val="24"/>
          <w:szCs w:val="24"/>
        </w:rPr>
        <w:t xml:space="preserve"> ni aucune autre proposition.</w:t>
      </w:r>
    </w:p>
    <w:p w14:paraId="1FF3902B" w14:textId="77777777" w:rsidR="00AF484A" w:rsidRPr="00CF6D97" w:rsidRDefault="00281350">
      <w:pPr>
        <w:jc w:val="both"/>
        <w:rPr>
          <w:rFonts w:ascii="Arial Narrow" w:eastAsia="Arial" w:hAnsi="Arial Narrow" w:cs="Arial"/>
          <w:color w:val="1A1A1A"/>
          <w:sz w:val="24"/>
          <w:szCs w:val="24"/>
        </w:rPr>
      </w:pPr>
      <w:r w:rsidRPr="00CF6D97">
        <w:rPr>
          <w:rFonts w:ascii="Arial Narrow" w:eastAsia="Arial" w:hAnsi="Arial Narrow" w:cs="Arial"/>
          <w:color w:val="1A1A1A"/>
          <w:sz w:val="24"/>
          <w:szCs w:val="24"/>
        </w:rPr>
        <w:t>En cas d'attribution du marché, le cabinet retenu devra maintenir l'équipe des intervenants proposée lors de l'appel d'offres, ou à défaut une équipe équivalente acceptée par le GIM-UEMOA.</w:t>
      </w:r>
    </w:p>
    <w:p w14:paraId="006A85BE" w14:textId="77777777" w:rsidR="00AF484A" w:rsidRDefault="00AF484A">
      <w:pPr>
        <w:ind w:left="720"/>
        <w:jc w:val="both"/>
        <w:rPr>
          <w:rFonts w:ascii="Arial Narrow" w:hAnsi="Arial Narrow" w:cs="Arial"/>
          <w:sz w:val="24"/>
          <w:szCs w:val="24"/>
        </w:rPr>
      </w:pPr>
    </w:p>
    <w:p w14:paraId="6DD07DE7" w14:textId="77777777" w:rsidR="00AF484A" w:rsidRDefault="00AF484A">
      <w:pPr>
        <w:pStyle w:val="Titre2"/>
        <w:numPr>
          <w:ilvl w:val="0"/>
          <w:numId w:val="0"/>
        </w:numPr>
        <w:ind w:left="284" w:hanging="284"/>
        <w:rPr>
          <w:color w:val="auto"/>
          <w:sz w:val="22"/>
          <w:szCs w:val="22"/>
        </w:rPr>
      </w:pPr>
    </w:p>
    <w:p w14:paraId="44824646" w14:textId="77777777" w:rsidR="00FB7CF9" w:rsidRDefault="00FB7CF9">
      <w:pPr>
        <w:pStyle w:val="Titre2"/>
        <w:numPr>
          <w:ilvl w:val="0"/>
          <w:numId w:val="0"/>
        </w:numPr>
        <w:ind w:left="284" w:hanging="284"/>
        <w:rPr>
          <w:color w:val="auto"/>
          <w:sz w:val="22"/>
          <w:szCs w:val="22"/>
        </w:rPr>
      </w:pPr>
    </w:p>
    <w:bookmarkEnd w:id="1"/>
    <w:p w14:paraId="64BAB13F" w14:textId="77777777" w:rsidR="00AF484A" w:rsidRDefault="00AF484A">
      <w:pPr>
        <w:jc w:val="both"/>
        <w:rPr>
          <w:rFonts w:ascii="Arial Narrow" w:hAnsi="Arial Narrow" w:cs="Arial"/>
        </w:rPr>
      </w:pPr>
    </w:p>
    <w:p w14:paraId="43D4518E" w14:textId="77777777" w:rsidR="00AF484A" w:rsidRDefault="00AF484A">
      <w:pPr>
        <w:pStyle w:val="BodyA"/>
        <w:rPr>
          <w:rFonts w:ascii="Arial Narrow" w:hAnsi="Arial Narrow"/>
          <w:sz w:val="20"/>
          <w:szCs w:val="20"/>
          <w:lang w:val="fr-FR"/>
        </w:rPr>
      </w:pPr>
    </w:p>
    <w:p w14:paraId="1BDAE676" w14:textId="77777777" w:rsidR="00AF484A" w:rsidRDefault="00281350">
      <w:pPr>
        <w:tabs>
          <w:tab w:val="left" w:pos="7395"/>
        </w:tabs>
        <w:jc w:val="center"/>
        <w:rPr>
          <w:rFonts w:ascii="Arial Narrow" w:eastAsia="Times New Roman" w:hAnsi="Arial Narrow"/>
          <w:b/>
          <w:lang w:eastAsia="fr-FR"/>
        </w:rPr>
      </w:pPr>
      <w:r>
        <w:rPr>
          <w:rFonts w:ascii="Arial Narrow" w:eastAsia="Times New Roman" w:hAnsi="Arial Narrow"/>
          <w:b/>
          <w:lang w:eastAsia="fr-FR"/>
        </w:rPr>
        <w:t>FIN DU DOCUMENT</w:t>
      </w:r>
    </w:p>
    <w:sectPr w:rsidR="00AF484A" w:rsidSect="008265EC">
      <w:headerReference w:type="default" r:id="rId11"/>
      <w:footerReference w:type="default" r:id="rId12"/>
      <w:pgSz w:w="11906" w:h="16838"/>
      <w:pgMar w:top="567" w:right="567" w:bottom="2977" w:left="567"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A2ED" w14:textId="77777777" w:rsidR="005A3905" w:rsidRDefault="005A3905">
      <w:pPr>
        <w:spacing w:line="240" w:lineRule="auto"/>
      </w:pPr>
      <w:r>
        <w:separator/>
      </w:r>
    </w:p>
  </w:endnote>
  <w:endnote w:type="continuationSeparator" w:id="0">
    <w:p w14:paraId="26E5AD0B" w14:textId="77777777" w:rsidR="005A3905" w:rsidRDefault="005A39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Rosariv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Italic">
    <w:altName w:val="Arial Narrow"/>
    <w:charset w:val="00"/>
    <w:family w:val="auto"/>
    <w:pitch w:val="default"/>
    <w:sig w:usb0="00000287" w:usb1="00000800" w:usb2="00000000" w:usb3="00000000" w:csb0="2000009F" w:csb1="DFD70000"/>
  </w:font>
  <w:font w:name="Arial Narrow Regular">
    <w:altName w:val="Arial Narrow"/>
    <w:charset w:val="00"/>
    <w:family w:val="auto"/>
    <w:pitch w:val="default"/>
    <w:sig w:usb0="00000287" w:usb1="00000800" w:usb2="00000000" w:usb3="00000000" w:csb0="2000009F" w:csb1="DFD70000"/>
  </w:font>
  <w:font w:name="Arial Narrow Bold">
    <w:altName w:val="Arial Narrow"/>
    <w:charset w:val="00"/>
    <w:family w:val="auto"/>
    <w:pitch w:val="default"/>
    <w:sig w:usb0="00000287" w:usb1="00000800" w:usb2="00000000" w:usb3="00000000" w:csb0="2000009F" w:csb1="DFD7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E872" w14:textId="77777777" w:rsidR="00AF484A" w:rsidRDefault="00281350">
    <w:pPr>
      <w:snapToGrid w:val="0"/>
      <w:spacing w:after="120"/>
      <w:jc w:val="center"/>
      <w:rPr>
        <w:rFonts w:ascii="Arial" w:hAnsi="Arial" w:cs="Arial"/>
        <w:i/>
        <w:iCs/>
        <w:sz w:val="16"/>
        <w:szCs w:val="16"/>
      </w:rPr>
    </w:pPr>
    <w:r>
      <w:rPr>
        <w:noProof/>
      </w:rPr>
      <mc:AlternateContent>
        <mc:Choice Requires="wps">
          <w:drawing>
            <wp:anchor distT="0" distB="0" distL="114300" distR="114300" simplePos="0" relativeHeight="251661824" behindDoc="0" locked="0" layoutInCell="1" allowOverlap="1" wp14:anchorId="150CD6A1" wp14:editId="0987A2ED">
              <wp:simplePos x="0" y="0"/>
              <wp:positionH relativeFrom="margin">
                <wp:posOffset>621030</wp:posOffset>
              </wp:positionH>
              <wp:positionV relativeFrom="paragraph">
                <wp:posOffset>-40005</wp:posOffset>
              </wp:positionV>
              <wp:extent cx="5939790" cy="231140"/>
              <wp:effectExtent l="0" t="0" r="0" b="0"/>
              <wp:wrapNone/>
              <wp:docPr id="16" name="Zone de texte 107"/>
              <wp:cNvGraphicFramePr/>
              <a:graphic xmlns:a="http://schemas.openxmlformats.org/drawingml/2006/main">
                <a:graphicData uri="http://schemas.microsoft.com/office/word/2010/wordprocessingShape">
                  <wps:wsp>
                    <wps:cNvSpPr txBox="1"/>
                    <wps:spPr>
                      <a:xfrm>
                        <a:off x="0" y="0"/>
                        <a:ext cx="5939790" cy="231140"/>
                      </a:xfrm>
                      <a:prstGeom prst="rect">
                        <a:avLst/>
                      </a:prstGeom>
                      <a:noFill/>
                      <a:ln w="6350">
                        <a:noFill/>
                      </a:ln>
                      <a:effectLst/>
                    </wps:spPr>
                    <wps:txbx>
                      <w:txbxContent>
                        <w:p w14:paraId="2FF98A57" w14:textId="77777777" w:rsidR="00AF484A" w:rsidRDefault="00281350">
                          <w:pPr>
                            <w:numPr>
                              <w:ilvl w:val="0"/>
                              <w:numId w:val="2"/>
                            </w:numPr>
                            <w:snapToGrid w:val="0"/>
                            <w:rPr>
                              <w:rFonts w:ascii="Arial" w:hAnsi="Arial" w:cs="Arial"/>
                              <w:i/>
                              <w:iCs/>
                              <w:sz w:val="16"/>
                              <w:szCs w:val="16"/>
                            </w:rPr>
                          </w:pPr>
                          <w:r>
                            <w:rPr>
                              <w:rFonts w:ascii="Arial" w:hAnsi="Arial" w:cs="Arial"/>
                              <w:i/>
                              <w:iCs/>
                              <w:sz w:val="16"/>
                              <w:szCs w:val="16"/>
                            </w:rPr>
                            <w:t>© Ce document est la propriété du GIM-UEMOA. Il ne peut être utilisé, reproduit ou divulgué sans autorisation écrite préalable</w:t>
                          </w:r>
                        </w:p>
                        <w:p w14:paraId="3213D5B5" w14:textId="77777777" w:rsidR="00AF484A" w:rsidRDefault="00AF484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50CD6A1" id="_x0000_t202" coordsize="21600,21600" o:spt="202" path="m,l,21600r21600,l21600,xe">
              <v:stroke joinstyle="miter"/>
              <v:path gradientshapeok="t" o:connecttype="rect"/>
            </v:shapetype>
            <v:shape id="Zone de texte 107" o:spid="_x0000_s1032" type="#_x0000_t202" style="position:absolute;left:0;text-align:left;margin-left:48.9pt;margin-top:-3.15pt;width:467.7pt;height:18.2pt;z-index:251661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" filled="f" stroked="f" strokeweight=".5pt">
              <v:textbox>
                <w:txbxContent>
                  <w:p w14:paraId="2FF98A57" w14:textId="77777777" w:rsidR="00AF484A" w:rsidRDefault="00281350">
                    <w:pPr>
                      <w:numPr>
                        <w:ilvl w:val="0"/>
                        <w:numId w:val="2"/>
                      </w:numPr>
                      <w:snapToGrid w:val="0"/>
                      <w:rPr>
                        <w:rFonts w:ascii="Arial" w:hAnsi="Arial" w:cs="Arial"/>
                        <w:i/>
                        <w:iCs/>
                        <w:sz w:val="16"/>
                        <w:szCs w:val="16"/>
                      </w:rPr>
                    </w:pPr>
                    <w:r>
                      <w:rPr>
                        <w:rFonts w:ascii="Arial" w:hAnsi="Arial" w:cs="Arial"/>
                        <w:i/>
                        <w:iCs/>
                        <w:sz w:val="16"/>
                        <w:szCs w:val="16"/>
                      </w:rPr>
                      <w:t>© Ce document est la propriété du GIM-UEMOA. Il ne peut être utilisé, reproduit ou divulgué sans autorisation écrite préalable</w:t>
                    </w:r>
                  </w:p>
                  <w:p w14:paraId="3213D5B5" w14:textId="77777777" w:rsidR="00AF484A" w:rsidRDefault="00AF484A"/>
                </w:txbxContent>
              </v:textbox>
              <w10:wrap anchorx="margin"/>
            </v:shape>
          </w:pict>
        </mc:Fallback>
      </mc:AlternateContent>
    </w:r>
  </w:p>
  <w:p w14:paraId="624B593A" w14:textId="77777777" w:rsidR="00AF484A" w:rsidRDefault="00281350">
    <w:pPr>
      <w:snapToGrid w:val="0"/>
      <w:spacing w:after="120"/>
      <w:jc w:val="center"/>
      <w:rPr>
        <w:rFonts w:ascii="Arial" w:hAnsi="Arial" w:cs="Arial"/>
        <w:i/>
        <w:iCs/>
        <w:sz w:val="16"/>
        <w:szCs w:val="16"/>
      </w:rPr>
    </w:pPr>
    <w:r>
      <w:rPr>
        <w:noProof/>
      </w:rPr>
      <mc:AlternateContent>
        <mc:Choice Requires="wps">
          <w:drawing>
            <wp:anchor distT="0" distB="0" distL="114300" distR="114300" simplePos="0" relativeHeight="251655680" behindDoc="0" locked="0" layoutInCell="1" allowOverlap="1" wp14:anchorId="1BF06BA5" wp14:editId="715E4F90">
              <wp:simplePos x="0" y="0"/>
              <wp:positionH relativeFrom="column">
                <wp:posOffset>220345</wp:posOffset>
              </wp:positionH>
              <wp:positionV relativeFrom="paragraph">
                <wp:posOffset>94615</wp:posOffset>
              </wp:positionV>
              <wp:extent cx="6414135" cy="346075"/>
              <wp:effectExtent l="0" t="0" r="0" b="0"/>
              <wp:wrapNone/>
              <wp:docPr id="11" name="Zone de texte 2"/>
              <wp:cNvGraphicFramePr/>
              <a:graphic xmlns:a="http://schemas.openxmlformats.org/drawingml/2006/main">
                <a:graphicData uri="http://schemas.microsoft.com/office/word/2010/wordprocessingShape">
                  <wps:wsp>
                    <wps:cNvSpPr txBox="1"/>
                    <wps:spPr>
                      <a:xfrm>
                        <a:off x="0" y="0"/>
                        <a:ext cx="6413856" cy="226695"/>
                      </a:xfrm>
                      <a:prstGeom prst="rect">
                        <a:avLst/>
                      </a:prstGeom>
                      <a:noFill/>
                      <a:ln w="6350">
                        <a:noFill/>
                      </a:ln>
                      <a:effectLst/>
                    </wps:spPr>
                    <wps:txbx>
                      <w:txbxContent>
                        <w:p w14:paraId="6C1DAB3C" w14:textId="77777777" w:rsidR="00AF484A" w:rsidRDefault="00281350">
                          <w:pPr>
                            <w:rPr>
                              <w:rFonts w:ascii="Arial" w:hAnsi="Arial" w:cs="Arial"/>
                              <w:b/>
                              <w:color w:val="283478"/>
                              <w:sz w:val="12"/>
                              <w:szCs w:val="12"/>
                            </w:rPr>
                          </w:pPr>
                          <w:r>
                            <w:rPr>
                              <w:rFonts w:ascii="Arial" w:hAnsi="Arial" w:cs="Arial"/>
                              <w:b/>
                              <w:i/>
                              <w:color w:val="283478"/>
                              <w:sz w:val="12"/>
                              <w:szCs w:val="12"/>
                            </w:rPr>
                            <w:t>SELECTION DE CONSULTANT POUR LA SPECIFICATION DE L’APPLICATION DU SCHEMA DE PAIEMENT, D’UN BACKOFFICE MONETIQUE, D’UN NOYAU APPLICATIF DE PAIEMENT REGIONAL, D’UN TMS REGIONAL ET DES PROTOCOLES D’ECHANGES MONETIQUES ET DE PAIEMENT DU GIM-UEMOA BASES SUR ISO 20022 ET LES API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BF06BA5" id="_x0000_s1033" type="#_x0000_t202" style="position:absolute;left:0;text-align:left;margin-left:17.35pt;margin-top:7.45pt;width:505.05pt;height:27.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" filled="f" stroked="f" strokeweight=".5pt">
              <v:textbox>
                <w:txbxContent>
                  <w:p w14:paraId="6C1DAB3C" w14:textId="77777777" w:rsidR="00AF484A" w:rsidRDefault="00281350">
                    <w:pPr>
                      <w:rPr>
                        <w:rFonts w:ascii="Arial" w:hAnsi="Arial" w:cs="Arial"/>
                        <w:b/>
                        <w:color w:val="283478"/>
                        <w:sz w:val="12"/>
                        <w:szCs w:val="12"/>
                      </w:rPr>
                    </w:pPr>
                    <w:r>
                      <w:rPr>
                        <w:rFonts w:ascii="Arial" w:hAnsi="Arial" w:cs="Arial"/>
                        <w:b/>
                        <w:i/>
                        <w:color w:val="283478"/>
                        <w:sz w:val="12"/>
                        <w:szCs w:val="12"/>
                      </w:rPr>
                      <w:t>SELECTION DE CONSULTANT POUR LA SPECIFICATION DE L’APPLICATION DU SCHEMA DE PAIEMENT, D’UN BACKOFFICE MONETIQUE, D’UN NOYAU APPLICATIF DE PAIEMENT REGIONAL, D’UN TMS REGIONAL ET DES PROTOCOLES D’ECHANGES MONETIQUES ET DE PAIEMENT DU GIM-UEMOA BASES SUR ISO 20022 ET LES API</w:t>
                    </w:r>
                  </w:p>
                </w:txbxContent>
              </v:textbox>
            </v:shape>
          </w:pict>
        </mc:Fallback>
      </mc:AlternateContent>
    </w:r>
  </w:p>
  <w:p w14:paraId="0EC90691" w14:textId="77777777" w:rsidR="00AF484A" w:rsidRDefault="00281350">
    <w:pPr>
      <w:pStyle w:val="Pieddepage"/>
      <w:jc w:val="center"/>
      <w:rPr>
        <w:color w:val="283478"/>
      </w:rPr>
    </w:pPr>
    <w:r>
      <w:rPr>
        <w:noProof/>
      </w:rPr>
      <mc:AlternateContent>
        <mc:Choice Requires="wps">
          <w:drawing>
            <wp:anchor distT="0" distB="0" distL="114300" distR="114300" simplePos="0" relativeHeight="251658752" behindDoc="0" locked="0" layoutInCell="1" allowOverlap="1" wp14:anchorId="4A1F311C" wp14:editId="29ABEB4C">
              <wp:simplePos x="0" y="0"/>
              <wp:positionH relativeFrom="column">
                <wp:posOffset>6518275</wp:posOffset>
              </wp:positionH>
              <wp:positionV relativeFrom="paragraph">
                <wp:posOffset>65405</wp:posOffset>
              </wp:positionV>
              <wp:extent cx="45085" cy="45085"/>
              <wp:effectExtent l="0" t="0" r="5715" b="5715"/>
              <wp:wrapNone/>
              <wp:docPr id="12" name="Ellipse 4"/>
              <wp:cNvGraphicFramePr/>
              <a:graphic xmlns:a="http://schemas.openxmlformats.org/drawingml/2006/main">
                <a:graphicData uri="http://schemas.microsoft.com/office/word/2010/wordprocessingShape">
                  <wps:wsp>
                    <wps:cNvSpPr/>
                    <wps:spPr>
                      <a:xfrm>
                        <a:off x="0" y="0"/>
                        <a:ext cx="45085" cy="45085"/>
                      </a:xfrm>
                      <a:prstGeom prst="ellipse">
                        <a:avLst/>
                      </a:prstGeom>
                      <a:solidFill>
                        <a:srgbClr val="FBBB2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87FADFE" id="Ellipse 4" o:spid="_x0000_s1026" style="position:absolute;margin-left:513.25pt;margin-top:5.15pt;width:3.55pt;height:3.5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" fillcolor="#fbbb21" stroked="f" strokeweight="1pt">
              <v:stroke joinstyle="miter"/>
            </v:oval>
          </w:pict>
        </mc:Fallback>
      </mc:AlternateContent>
    </w:r>
    <w:r>
      <w:rPr>
        <w:color w:val="5B9BD5"/>
      </w:rPr>
      <w:t xml:space="preserve">                                                            </w:t>
    </w:r>
    <w:r>
      <w:rPr>
        <w:color w:val="283478"/>
      </w:rPr>
      <w:t xml:space="preserve">                                                                                                                                                 </w:t>
    </w:r>
    <w:proofErr w:type="gramStart"/>
    <w:r>
      <w:rPr>
        <w:color w:val="283478"/>
      </w:rPr>
      <w:t>p</w:t>
    </w:r>
    <w:proofErr w:type="gramEnd"/>
    <w:r>
      <w:rPr>
        <w:color w:val="283478"/>
      </w:rPr>
      <w:fldChar w:fldCharType="begin"/>
    </w:r>
    <w:r>
      <w:rPr>
        <w:color w:val="283478"/>
      </w:rPr>
      <w:instrText>PAGE  \* Arabic  \* MERGEFORMAT</w:instrText>
    </w:r>
    <w:r>
      <w:rPr>
        <w:color w:val="283478"/>
      </w:rPr>
      <w:fldChar w:fldCharType="separate"/>
    </w:r>
    <w:r>
      <w:rPr>
        <w:color w:val="283478"/>
      </w:rPr>
      <w:t>1</w:t>
    </w:r>
    <w:r>
      <w:rPr>
        <w:color w:val="283478"/>
      </w:rPr>
      <w:fldChar w:fldCharType="end"/>
    </w:r>
    <w:r>
      <w:rPr>
        <w:color w:val="283478"/>
      </w:rPr>
      <w:t xml:space="preserve"> </w:t>
    </w:r>
  </w:p>
  <w:p w14:paraId="6EE0BB8A" w14:textId="75F015B8" w:rsidR="00AF484A" w:rsidRDefault="00C43E3B">
    <w:pPr>
      <w:pStyle w:val="Pieddepage"/>
    </w:pPr>
    <w:r w:rsidRPr="00C614CF">
      <w:rPr>
        <w:noProof/>
      </w:rPr>
      <w:drawing>
        <wp:inline distT="0" distB="0" distL="0" distR="0" wp14:anchorId="558B0FD4" wp14:editId="203D97AA">
          <wp:extent cx="6832600" cy="723900"/>
          <wp:effectExtent l="0" t="0" r="6350" b="0"/>
          <wp:docPr id="184063008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154C" w14:textId="77777777" w:rsidR="005A3905" w:rsidRDefault="005A3905">
      <w:pPr>
        <w:spacing w:after="0"/>
      </w:pPr>
      <w:r>
        <w:separator/>
      </w:r>
    </w:p>
  </w:footnote>
  <w:footnote w:type="continuationSeparator" w:id="0">
    <w:p w14:paraId="7A84E201" w14:textId="77777777" w:rsidR="005A3905" w:rsidRDefault="005A39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41ED" w14:textId="77777777" w:rsidR="00AF484A" w:rsidRDefault="00281350">
    <w:pPr>
      <w:pStyle w:val="En-tte"/>
      <w:rPr>
        <w:rFonts w:ascii="Arial" w:hAnsi="Arial" w:cs="Arial"/>
        <w:b/>
        <w:color w:val="024089"/>
      </w:rPr>
    </w:pPr>
    <w:r>
      <w:rPr>
        <w:noProof/>
      </w:rPr>
      <mc:AlternateContent>
        <mc:Choice Requires="wps">
          <w:drawing>
            <wp:anchor distT="0" distB="0" distL="114300" distR="114300" simplePos="0" relativeHeight="251661312" behindDoc="0" locked="0" layoutInCell="1" allowOverlap="1" wp14:anchorId="75C7997D" wp14:editId="05584F7E">
              <wp:simplePos x="0" y="0"/>
              <wp:positionH relativeFrom="column">
                <wp:posOffset>984885</wp:posOffset>
              </wp:positionH>
              <wp:positionV relativeFrom="paragraph">
                <wp:posOffset>72390</wp:posOffset>
              </wp:positionV>
              <wp:extent cx="5705475" cy="431800"/>
              <wp:effectExtent l="0" t="0" r="0" b="0"/>
              <wp:wrapNone/>
              <wp:docPr id="13" name="Zone de texte 7"/>
              <wp:cNvGraphicFramePr/>
              <a:graphic xmlns:a="http://schemas.openxmlformats.org/drawingml/2006/main">
                <a:graphicData uri="http://schemas.microsoft.com/office/word/2010/wordprocessingShape">
                  <wps:wsp>
                    <wps:cNvSpPr txBox="1"/>
                    <wps:spPr>
                      <a:xfrm>
                        <a:off x="0" y="0"/>
                        <a:ext cx="5705475" cy="419100"/>
                      </a:xfrm>
                      <a:prstGeom prst="rect">
                        <a:avLst/>
                      </a:prstGeom>
                      <a:noFill/>
                      <a:ln w="6350">
                        <a:noFill/>
                      </a:ln>
                      <a:effectLst/>
                    </wps:spPr>
                    <wps:txbx>
                      <w:txbxContent>
                        <w:p w14:paraId="78FC8C70" w14:textId="77777777" w:rsidR="00AF484A" w:rsidRDefault="00281350">
                          <w:pPr>
                            <w:pStyle w:val="En-tte"/>
                            <w:rPr>
                              <w:rFonts w:ascii="Arial" w:hAnsi="Arial" w:cs="Arial"/>
                              <w:color w:val="283478"/>
                            </w:rPr>
                          </w:pPr>
                          <w:r>
                            <w:rPr>
                              <w:rFonts w:ascii="Arial" w:hAnsi="Arial" w:cs="Arial"/>
                              <w:color w:val="283478"/>
                            </w:rPr>
                            <w:t xml:space="preserve">Groupement Interbancaire Monétique </w:t>
                          </w:r>
                        </w:p>
                        <w:p w14:paraId="00095FDC" w14:textId="4F794C29" w:rsidR="00AF484A" w:rsidRDefault="00281350">
                          <w:pPr>
                            <w:pStyle w:val="En-tte"/>
                            <w:rPr>
                              <w:rFonts w:ascii="Arial" w:hAnsi="Arial" w:cs="Arial"/>
                              <w:color w:val="283478"/>
                            </w:rPr>
                          </w:pPr>
                          <w:proofErr w:type="gramStart"/>
                          <w:r>
                            <w:rPr>
                              <w:rFonts w:ascii="Arial" w:hAnsi="Arial" w:cs="Arial"/>
                              <w:color w:val="283478"/>
                            </w:rPr>
                            <w:t>de</w:t>
                          </w:r>
                          <w:proofErr w:type="gramEnd"/>
                          <w:r>
                            <w:rPr>
                              <w:rFonts w:ascii="Arial" w:hAnsi="Arial" w:cs="Arial"/>
                              <w:color w:val="283478"/>
                            </w:rPr>
                            <w:t xml:space="preserve"> l’Union Economique et Monétaire Ouest Africain</w:t>
                          </w:r>
                          <w:r w:rsidR="008265EC">
                            <w:rPr>
                              <w:rFonts w:ascii="Arial" w:hAnsi="Arial" w:cs="Arial"/>
                              <w:color w:val="283478"/>
                            </w:rPr>
                            <w:t>e</w:t>
                          </w:r>
                        </w:p>
                      </w:txbxContent>
                    </wps:txbx>
                    <wps:bodyPr rot="0" spcFirstLastPara="1" vertOverflow="overflow" horzOverflow="overflow" vert="horz" wrap="square" lIns="50800" tIns="50800" rIns="50800" bIns="50800" numCol="1" spcCol="38100" rtlCol="0" fromWordArt="0" anchor="t" anchorCtr="0" forceAA="0" compatLnSpc="1">
                      <a:spAutoFit/>
                    </wps:bodyPr>
                  </wps:wsp>
                </a:graphicData>
              </a:graphic>
            </wp:anchor>
          </w:drawing>
        </mc:Choice>
        <mc:Fallback>
          <w:pict>
            <v:shapetype w14:anchorId="75C7997D" id="_x0000_t202" coordsize="21600,21600" o:spt="202" path="m,l,21600r21600,l21600,xe">
              <v:stroke joinstyle="miter"/>
              <v:path gradientshapeok="t" o:connecttype="rect"/>
            </v:shapetype>
            <v:shape id="Zone de texte 7" o:spid="_x0000_s1031" type="#_x0000_t202" style="position:absolute;margin-left:77.55pt;margin-top:5.7pt;width:449.25pt;height: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" filled="f" stroked="f" strokeweight=".5pt">
              <v:textbox style="mso-fit-shape-to-text:t" inset="4pt,4pt,4pt,4pt">
                <w:txbxContent>
                  <w:p w14:paraId="78FC8C70" w14:textId="77777777" w:rsidR="00AF484A" w:rsidRDefault="00281350">
                    <w:pPr>
                      <w:pStyle w:val="En-tte"/>
                      <w:rPr>
                        <w:rFonts w:ascii="Arial" w:hAnsi="Arial" w:cs="Arial"/>
                        <w:color w:val="283478"/>
                      </w:rPr>
                    </w:pPr>
                    <w:r>
                      <w:rPr>
                        <w:rFonts w:ascii="Arial" w:hAnsi="Arial" w:cs="Arial"/>
                        <w:color w:val="283478"/>
                      </w:rPr>
                      <w:t xml:space="preserve">Groupement Interbancaire Monétique </w:t>
                    </w:r>
                  </w:p>
                  <w:p w14:paraId="00095FDC" w14:textId="4F794C29" w:rsidR="00AF484A" w:rsidRDefault="00281350">
                    <w:pPr>
                      <w:pStyle w:val="En-tte"/>
                      <w:rPr>
                        <w:rFonts w:ascii="Arial" w:hAnsi="Arial" w:cs="Arial"/>
                        <w:color w:val="283478"/>
                      </w:rPr>
                    </w:pPr>
                    <w:proofErr w:type="gramStart"/>
                    <w:r>
                      <w:rPr>
                        <w:rFonts w:ascii="Arial" w:hAnsi="Arial" w:cs="Arial"/>
                        <w:color w:val="283478"/>
                      </w:rPr>
                      <w:t>de</w:t>
                    </w:r>
                    <w:proofErr w:type="gramEnd"/>
                    <w:r>
                      <w:rPr>
                        <w:rFonts w:ascii="Arial" w:hAnsi="Arial" w:cs="Arial"/>
                        <w:color w:val="283478"/>
                      </w:rPr>
                      <w:t xml:space="preserve"> l’Union Economique et Monétaire Ouest Africain</w:t>
                    </w:r>
                    <w:r w:rsidR="008265EC">
                      <w:rPr>
                        <w:rFonts w:ascii="Arial" w:hAnsi="Arial" w:cs="Arial"/>
                        <w:color w:val="283478"/>
                      </w:rPr>
                      <w:t>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7EE4AA6" wp14:editId="7BB28CC8">
              <wp:simplePos x="0" y="0"/>
              <wp:positionH relativeFrom="column">
                <wp:posOffset>1043940</wp:posOffset>
              </wp:positionH>
              <wp:positionV relativeFrom="paragraph">
                <wp:posOffset>531495</wp:posOffset>
              </wp:positionV>
              <wp:extent cx="5778500" cy="0"/>
              <wp:effectExtent l="0" t="6350" r="0" b="6350"/>
              <wp:wrapNone/>
              <wp:docPr id="15" name="Connecteur droit 6"/>
              <wp:cNvGraphicFramePr/>
              <a:graphic xmlns:a="http://schemas.openxmlformats.org/drawingml/2006/main">
                <a:graphicData uri="http://schemas.microsoft.com/office/word/2010/wordprocessingShape">
                  <wps:wsp>
                    <wps:cNvCnPr/>
                    <wps:spPr>
                      <a:xfrm flipV="1">
                        <a:off x="0" y="0"/>
                        <a:ext cx="5778500" cy="0"/>
                      </a:xfrm>
                      <a:prstGeom prst="line">
                        <a:avLst/>
                      </a:prstGeom>
                      <a:noFill/>
                      <a:ln w="6350" cap="flat" cmpd="sng" algn="ctr">
                        <a:solidFill>
                          <a:srgbClr val="283478"/>
                        </a:solidFill>
                        <a:prstDash val="solid"/>
                        <a:miter lim="800000"/>
                      </a:ln>
                      <a:effectLst/>
                    </wps:spPr>
                    <wps:bodyPr/>
                  </wps:wsp>
                </a:graphicData>
              </a:graphic>
            </wp:anchor>
          </w:drawing>
        </mc:Choice>
        <mc:Fallback>
          <w:pict>
            <v:line w14:anchorId="2CAD1AC4" id="Connecteur droit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82.2pt,41.85pt" to="537.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" strokecolor="#283478" strokeweight=".5pt">
              <v:stroke joinstyle="miter"/>
            </v:line>
          </w:pict>
        </mc:Fallback>
      </mc:AlternateContent>
    </w:r>
    <w:r>
      <w:rPr>
        <w:noProof/>
      </w:rPr>
      <w:drawing>
        <wp:anchor distT="0" distB="0" distL="114300" distR="114300" simplePos="0" relativeHeight="251662336" behindDoc="1" locked="0" layoutInCell="1" allowOverlap="1" wp14:anchorId="0BCFC3A1" wp14:editId="3C90AB6A">
          <wp:simplePos x="0" y="0"/>
          <wp:positionH relativeFrom="margin">
            <wp:posOffset>6985</wp:posOffset>
          </wp:positionH>
          <wp:positionV relativeFrom="paragraph">
            <wp:posOffset>-35560</wp:posOffset>
          </wp:positionV>
          <wp:extent cx="977900" cy="621030"/>
          <wp:effectExtent l="0" t="0" r="0" b="15240"/>
          <wp:wrapNone/>
          <wp:docPr id="938131588" name="Image 112700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127003071"/>
                  <pic:cNvPicPr>
                    <a:picLocks noChangeAspect="1"/>
                  </pic:cNvPicPr>
                </pic:nvPicPr>
                <pic:blipFill>
                  <a:blip r:embed="rId1"/>
                  <a:stretch>
                    <a:fillRect/>
                  </a:stretch>
                </pic:blipFill>
                <pic:spPr>
                  <a:xfrm>
                    <a:off x="0" y="0"/>
                    <a:ext cx="977900" cy="621030"/>
                  </a:xfrm>
                  <a:prstGeom prst="rect">
                    <a:avLst/>
                  </a:prstGeom>
                  <a:noFill/>
                  <a:ln>
                    <a:noFill/>
                  </a:ln>
                </pic:spPr>
              </pic:pic>
            </a:graphicData>
          </a:graphic>
        </wp:anchor>
      </w:drawing>
    </w:r>
  </w:p>
  <w:p w14:paraId="197AA80B" w14:textId="77777777" w:rsidR="00AF484A" w:rsidRDefault="00AF484A">
    <w:pPr>
      <w:pStyle w:val="En-tte"/>
      <w:rPr>
        <w:rFonts w:ascii="Arial" w:hAnsi="Arial" w:cs="Arial"/>
        <w:b/>
        <w:color w:val="024089"/>
      </w:rPr>
    </w:pPr>
  </w:p>
  <w:p w14:paraId="04FCEA53" w14:textId="77777777" w:rsidR="00AF484A" w:rsidRDefault="00AF484A">
    <w:pPr>
      <w:pStyle w:val="En-tte"/>
      <w:rPr>
        <w:rFonts w:ascii="Arial" w:hAnsi="Arial" w:cs="Arial"/>
        <w:b/>
        <w:color w:val="024089"/>
      </w:rPr>
    </w:pPr>
  </w:p>
  <w:p w14:paraId="62B77342" w14:textId="77777777" w:rsidR="00AF484A" w:rsidRDefault="00AF484A">
    <w:pPr>
      <w:pStyle w:val="En-tte"/>
      <w:rPr>
        <w:rFonts w:ascii="Arial" w:hAnsi="Arial" w:cs="Arial"/>
        <w:b/>
        <w:color w:val="024089"/>
      </w:rPr>
    </w:pPr>
  </w:p>
  <w:p w14:paraId="4F32BC65" w14:textId="77777777" w:rsidR="00AF484A" w:rsidRDefault="00AF48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59BCE1"/>
    <w:multiLevelType w:val="multilevel"/>
    <w:tmpl w:val="CF59BCE1"/>
    <w:lvl w:ilvl="0">
      <w:start w:val="1"/>
      <w:numFmt w:val="bullet"/>
      <w:lvlText w:val="•"/>
      <w:lvlJc w:val="left"/>
      <w:pPr>
        <w:ind w:left="720" w:hanging="360"/>
      </w:pPr>
    </w:lvl>
    <w:lvl w:ilvl="1">
      <w:start w:val="1"/>
      <w:numFmt w:val="bullet"/>
      <w:lvlText w:val="–"/>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2" w15:restartNumberingAfterBreak="0">
    <w:nsid w:val="041D7B13"/>
    <w:multiLevelType w:val="multilevel"/>
    <w:tmpl w:val="B75CE95E"/>
    <w:lvl w:ilvl="0">
      <w:start w:val="1"/>
      <w:numFmt w:val="decimal"/>
      <w:lvlText w:val="%1-"/>
      <w:lvlJc w:val="left"/>
      <w:pPr>
        <w:ind w:left="720" w:hanging="360"/>
      </w:pPr>
      <w:rPr>
        <w:color w:val="28347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D0627"/>
    <w:multiLevelType w:val="multilevel"/>
    <w:tmpl w:val="077D0627"/>
    <w:lvl w:ilvl="0">
      <w:start w:val="7"/>
      <w:numFmt w:val="decimal"/>
      <w:lvlText w:val="3.%1.2"/>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EF1E10"/>
    <w:multiLevelType w:val="multilevel"/>
    <w:tmpl w:val="0EEF1E10"/>
    <w:lvl w:ilvl="0">
      <w:start w:val="7"/>
      <w:numFmt w:val="decimal"/>
      <w:lvlText w:val="3.%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52E9C"/>
    <w:multiLevelType w:val="multilevel"/>
    <w:tmpl w:val="18E52E9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90A3DB1"/>
    <w:multiLevelType w:val="multilevel"/>
    <w:tmpl w:val="190A3DB1"/>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D576A"/>
    <w:multiLevelType w:val="multilevel"/>
    <w:tmpl w:val="1F1D576A"/>
    <w:lvl w:ilvl="0">
      <w:start w:val="4"/>
      <w:numFmt w:val="decimal"/>
      <w:lvlText w:val="3.%1.3"/>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25678"/>
    <w:multiLevelType w:val="multilevel"/>
    <w:tmpl w:val="6F707AC0"/>
    <w:lvl w:ilvl="0">
      <w:start w:val="10"/>
      <w:numFmt w:val="decimal"/>
      <w:lvlText w:val="%1-"/>
      <w:lvlJc w:val="left"/>
      <w:pPr>
        <w:ind w:left="720" w:hanging="360"/>
      </w:pPr>
      <w:rPr>
        <w:rFonts w:hint="default"/>
        <w:color w:val="28347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8724DE"/>
    <w:multiLevelType w:val="multilevel"/>
    <w:tmpl w:val="1F8724DE"/>
    <w:lvl w:ilvl="0">
      <w:start w:val="1"/>
      <w:numFmt w:val="decimal"/>
      <w:lvlText w:val="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7E157E"/>
    <w:multiLevelType w:val="multilevel"/>
    <w:tmpl w:val="217E157E"/>
    <w:lvl w:ilvl="0">
      <w:start w:val="1"/>
      <w:numFmt w:val="decimal"/>
      <w:lvlText w:val="%1-"/>
      <w:lvlJc w:val="left"/>
      <w:pPr>
        <w:ind w:left="720" w:hanging="360"/>
      </w:pPr>
      <w:rPr>
        <w:rFonts w:hint="default"/>
        <w:color w:val="28347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042B2A"/>
    <w:multiLevelType w:val="multilevel"/>
    <w:tmpl w:val="2D042B2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2A0222"/>
    <w:multiLevelType w:val="multilevel"/>
    <w:tmpl w:val="332A02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E94B2B"/>
    <w:multiLevelType w:val="multilevel"/>
    <w:tmpl w:val="36E94B2B"/>
    <w:lvl w:ilvl="0">
      <w:start w:val="3"/>
      <w:numFmt w:val="decimal"/>
      <w:lvlText w:val="3.%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AE4FB4"/>
    <w:multiLevelType w:val="multilevel"/>
    <w:tmpl w:val="3BAE4FB4"/>
    <w:lvl w:ilvl="0">
      <w:start w:val="7"/>
      <w:numFmt w:val="decimal"/>
      <w:lvlText w:val="3.%1.4"/>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884971"/>
    <w:multiLevelType w:val="multilevel"/>
    <w:tmpl w:val="8548850E"/>
    <w:lvl w:ilvl="0">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Arial Narrow" w:eastAsia="Arial Narrow" w:hAnsi="Arial Narrow" w:cs="Arial Narrow"/>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0D1429F"/>
    <w:multiLevelType w:val="multilevel"/>
    <w:tmpl w:val="3AFE7EEC"/>
    <w:lvl w:ilvl="0">
      <w:numFmt w:val="bullet"/>
      <w:lvlText w:val="-"/>
      <w:lvlJc w:val="left"/>
      <w:pPr>
        <w:ind w:left="720" w:hanging="360"/>
      </w:pPr>
      <w:rPr>
        <w:rFonts w:ascii="Arial Narrow" w:eastAsia="Arial Narrow" w:hAnsi="Arial Narrow" w:cs="Arial Narro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1DE2432"/>
    <w:multiLevelType w:val="multilevel"/>
    <w:tmpl w:val="B4CCA272"/>
    <w:lvl w:ilvl="0">
      <w:numFmt w:val="bullet"/>
      <w:lvlText w:val="-"/>
      <w:lvlJc w:val="left"/>
      <w:pPr>
        <w:ind w:left="718" w:hanging="360"/>
      </w:pPr>
      <w:rPr>
        <w:rFonts w:ascii="Rosarivo" w:eastAsia="Rosarivo" w:hAnsi="Rosarivo" w:cs="Rosarivo"/>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8" w15:restartNumberingAfterBreak="0">
    <w:nsid w:val="44E53CB2"/>
    <w:multiLevelType w:val="multilevel"/>
    <w:tmpl w:val="44E53CB2"/>
    <w:lvl w:ilvl="0">
      <w:start w:val="1"/>
      <w:numFmt w:val="decimal"/>
      <w:pStyle w:val="Titre1"/>
      <w:lvlText w:val="%1."/>
      <w:lvlJc w:val="left"/>
      <w:pPr>
        <w:ind w:left="360" w:hanging="360"/>
      </w:pPr>
      <w:rPr>
        <w:rFonts w:hint="default"/>
        <w:b/>
      </w:rPr>
    </w:lvl>
    <w:lvl w:ilvl="1">
      <w:start w:val="1"/>
      <w:numFmt w:val="decimal"/>
      <w:pStyle w:val="Titre2"/>
      <w:isLgl/>
      <w:lvlText w:val="%1.%2."/>
      <w:lvlJc w:val="left"/>
      <w:pPr>
        <w:ind w:left="0" w:hanging="360"/>
      </w:pPr>
      <w:rPr>
        <w:rFonts w:ascii="Arial Narrow" w:hAnsi="Arial Narrow" w:hint="default"/>
        <w:b/>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9" w15:restartNumberingAfterBreak="0">
    <w:nsid w:val="45384176"/>
    <w:multiLevelType w:val="multilevel"/>
    <w:tmpl w:val="45384176"/>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4B037A"/>
    <w:multiLevelType w:val="multilevel"/>
    <w:tmpl w:val="454B037A"/>
    <w:lvl w:ilvl="0">
      <w:start w:val="1"/>
      <w:numFmt w:val="decimal"/>
      <w:lvlText w:val="10.%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433DD3"/>
    <w:multiLevelType w:val="multilevel"/>
    <w:tmpl w:val="46433DD3"/>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483D0664"/>
    <w:multiLevelType w:val="multilevel"/>
    <w:tmpl w:val="D0E68B8C"/>
    <w:lvl w:ilvl="0">
      <w:start w:val="6"/>
      <w:numFmt w:val="decimal"/>
      <w:lvlText w:val="%1."/>
      <w:lvlJc w:val="left"/>
      <w:pPr>
        <w:ind w:left="720" w:hanging="360"/>
      </w:pPr>
      <w:rPr>
        <w:sz w:val="24"/>
        <w:szCs w:val="24"/>
      </w:rPr>
    </w:lvl>
    <w:lvl w:ilvl="1">
      <w:start w:val="1"/>
      <w:numFmt w:val="decimal"/>
      <w:lvlText w:val="%1.%2"/>
      <w:lvlJc w:val="left"/>
      <w:pPr>
        <w:ind w:left="928" w:hanging="360"/>
      </w:pPr>
      <w:rPr>
        <w:b/>
        <w:bCs/>
      </w:rPr>
    </w:lvl>
    <w:lvl w:ilvl="2">
      <w:start w:val="1"/>
      <w:numFmt w:val="decimal"/>
      <w:lvlText w:val="%1.%2.%3"/>
      <w:lvlJc w:val="left"/>
      <w:pPr>
        <w:ind w:left="1496" w:hanging="720"/>
      </w:pPr>
      <w:rPr>
        <w:b/>
        <w:bCs/>
      </w:rPr>
    </w:lvl>
    <w:lvl w:ilvl="3">
      <w:start w:val="1"/>
      <w:numFmt w:val="decimal"/>
      <w:lvlText w:val="%1.%2.%3.%4"/>
      <w:lvlJc w:val="left"/>
      <w:pPr>
        <w:ind w:left="1704" w:hanging="720"/>
      </w:pPr>
      <w:rPr>
        <w:b/>
        <w:bCs/>
      </w:rPr>
    </w:lvl>
    <w:lvl w:ilvl="4">
      <w:start w:val="1"/>
      <w:numFmt w:val="decimal"/>
      <w:lvlText w:val="%1.%2.%3.%4.%5"/>
      <w:lvlJc w:val="left"/>
      <w:pPr>
        <w:ind w:left="1912" w:hanging="720"/>
      </w:pPr>
      <w:rPr>
        <w:b/>
        <w:bCs/>
      </w:rPr>
    </w:lvl>
    <w:lvl w:ilvl="5">
      <w:start w:val="1"/>
      <w:numFmt w:val="decimal"/>
      <w:lvlText w:val="%1.%2.%3.%4.%5.%6"/>
      <w:lvlJc w:val="left"/>
      <w:pPr>
        <w:ind w:left="2480" w:hanging="1080"/>
      </w:pPr>
      <w:rPr>
        <w:b/>
        <w:bCs/>
      </w:rPr>
    </w:lvl>
    <w:lvl w:ilvl="6">
      <w:start w:val="1"/>
      <w:numFmt w:val="decimal"/>
      <w:lvlText w:val="%1.%2.%3.%4.%5.%6.%7"/>
      <w:lvlJc w:val="left"/>
      <w:pPr>
        <w:ind w:left="2688" w:hanging="1080"/>
      </w:pPr>
      <w:rPr>
        <w:b/>
        <w:bCs/>
      </w:rPr>
    </w:lvl>
    <w:lvl w:ilvl="7">
      <w:start w:val="1"/>
      <w:numFmt w:val="decimal"/>
      <w:lvlText w:val="%1.%2.%3.%4.%5.%6.%7.%8"/>
      <w:lvlJc w:val="left"/>
      <w:pPr>
        <w:ind w:left="3256" w:hanging="1439"/>
      </w:pPr>
      <w:rPr>
        <w:b/>
        <w:bCs/>
      </w:rPr>
    </w:lvl>
    <w:lvl w:ilvl="8">
      <w:start w:val="1"/>
      <w:numFmt w:val="decimal"/>
      <w:lvlText w:val="%1.%2.%3.%4.%5.%6.%7.%8.%9"/>
      <w:lvlJc w:val="left"/>
      <w:pPr>
        <w:ind w:left="3464" w:hanging="1440"/>
      </w:pPr>
      <w:rPr>
        <w:b/>
        <w:bCs/>
      </w:rPr>
    </w:lvl>
  </w:abstractNum>
  <w:abstractNum w:abstractNumId="23" w15:restartNumberingAfterBreak="0">
    <w:nsid w:val="5BC131D9"/>
    <w:multiLevelType w:val="multilevel"/>
    <w:tmpl w:val="5BC131D9"/>
    <w:lvl w:ilvl="0">
      <w:start w:val="3"/>
      <w:numFmt w:val="decimal"/>
      <w:lvlText w:val="3.%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6C2719"/>
    <w:multiLevelType w:val="multilevel"/>
    <w:tmpl w:val="626C2719"/>
    <w:lvl w:ilvl="0">
      <w:start w:val="7"/>
      <w:numFmt w:val="decimal"/>
      <w:lvlText w:val="3.%1.3"/>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DB7968"/>
    <w:multiLevelType w:val="multilevel"/>
    <w:tmpl w:val="68DB7968"/>
    <w:lvl w:ilvl="0">
      <w:start w:val="4"/>
      <w:numFmt w:val="decimal"/>
      <w:lvlText w:val="3.%1.2"/>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1F2AE9"/>
    <w:multiLevelType w:val="multilevel"/>
    <w:tmpl w:val="691F2AE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936ACE"/>
    <w:multiLevelType w:val="multilevel"/>
    <w:tmpl w:val="69936ACE"/>
    <w:lvl w:ilvl="0">
      <w:start w:val="1"/>
      <w:numFmt w:val="bullet"/>
      <w:lvlText w:val="•"/>
      <w:lvlJc w:val="left"/>
      <w:pPr>
        <w:ind w:left="720" w:hanging="360"/>
      </w:pPr>
    </w:lvl>
    <w:lvl w:ilvl="1">
      <w:start w:val="1"/>
      <w:numFmt w:val="bullet"/>
      <w:lvlText w:val="–"/>
      <w:lvlJc w:val="left"/>
      <w:pPr>
        <w:ind w:left="108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3D1DBC"/>
    <w:multiLevelType w:val="multilevel"/>
    <w:tmpl w:val="6D3D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CF763A"/>
    <w:multiLevelType w:val="multilevel"/>
    <w:tmpl w:val="6DCF763A"/>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0360C2"/>
    <w:multiLevelType w:val="multilevel"/>
    <w:tmpl w:val="710360C2"/>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396CD1"/>
    <w:multiLevelType w:val="multilevel"/>
    <w:tmpl w:val="71396CD1"/>
    <w:lvl w:ilvl="0">
      <w:start w:val="3"/>
      <w:numFmt w:val="decimal"/>
      <w:lvlText w:val="3.%1.2"/>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77381D"/>
    <w:multiLevelType w:val="multilevel"/>
    <w:tmpl w:val="7C77381D"/>
    <w:lvl w:ilvl="0">
      <w:start w:val="1"/>
      <w:numFmt w:val="decimal"/>
      <w:lvlText w:val="3.%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97782810">
    <w:abstractNumId w:val="18"/>
  </w:num>
  <w:num w:numId="2" w16cid:durableId="1759446108">
    <w:abstractNumId w:val="28"/>
  </w:num>
  <w:num w:numId="3" w16cid:durableId="2093156499">
    <w:abstractNumId w:val="10"/>
  </w:num>
  <w:num w:numId="4" w16cid:durableId="441845156">
    <w:abstractNumId w:val="12"/>
  </w:num>
  <w:num w:numId="5" w16cid:durableId="1969699572">
    <w:abstractNumId w:val="1"/>
  </w:num>
  <w:num w:numId="6" w16cid:durableId="840317782">
    <w:abstractNumId w:val="26"/>
  </w:num>
  <w:num w:numId="7" w16cid:durableId="613220687">
    <w:abstractNumId w:val="29"/>
  </w:num>
  <w:num w:numId="8" w16cid:durableId="921833947">
    <w:abstractNumId w:val="21"/>
  </w:num>
  <w:num w:numId="9" w16cid:durableId="1112941647">
    <w:abstractNumId w:val="5"/>
  </w:num>
  <w:num w:numId="10" w16cid:durableId="223957052">
    <w:abstractNumId w:val="27"/>
    <w:lvlOverride w:ilvl="0">
      <w:startOverride w:val="1"/>
    </w:lvlOverride>
  </w:num>
  <w:num w:numId="11" w16cid:durableId="1322196939">
    <w:abstractNumId w:val="6"/>
  </w:num>
  <w:num w:numId="12" w16cid:durableId="1693607183">
    <w:abstractNumId w:val="0"/>
    <w:lvlOverride w:ilvl="0">
      <w:startOverride w:val="1"/>
    </w:lvlOverride>
  </w:num>
  <w:num w:numId="13" w16cid:durableId="1860240656">
    <w:abstractNumId w:val="32"/>
  </w:num>
  <w:num w:numId="14" w16cid:durableId="1622030196">
    <w:abstractNumId w:val="13"/>
  </w:num>
  <w:num w:numId="15" w16cid:durableId="1881898752">
    <w:abstractNumId w:val="31"/>
  </w:num>
  <w:num w:numId="16" w16cid:durableId="1368530356">
    <w:abstractNumId w:val="23"/>
  </w:num>
  <w:num w:numId="17" w16cid:durableId="656301790">
    <w:abstractNumId w:val="25"/>
  </w:num>
  <w:num w:numId="18" w16cid:durableId="658120298">
    <w:abstractNumId w:val="7"/>
  </w:num>
  <w:num w:numId="19" w16cid:durableId="1258901437">
    <w:abstractNumId w:val="4"/>
  </w:num>
  <w:num w:numId="20" w16cid:durableId="223223497">
    <w:abstractNumId w:val="3"/>
  </w:num>
  <w:num w:numId="21" w16cid:durableId="2014452264">
    <w:abstractNumId w:val="24"/>
  </w:num>
  <w:num w:numId="22" w16cid:durableId="47271120">
    <w:abstractNumId w:val="14"/>
  </w:num>
  <w:num w:numId="23" w16cid:durableId="2027098042">
    <w:abstractNumId w:val="30"/>
  </w:num>
  <w:num w:numId="24" w16cid:durableId="2136409500">
    <w:abstractNumId w:val="11"/>
    <w:lvlOverride w:ilvl="0">
      <w:startOverride w:val="1"/>
    </w:lvlOverride>
  </w:num>
  <w:num w:numId="25" w16cid:durableId="1384910694">
    <w:abstractNumId w:val="9"/>
  </w:num>
  <w:num w:numId="26" w16cid:durableId="1736467330">
    <w:abstractNumId w:val="19"/>
  </w:num>
  <w:num w:numId="27" w16cid:durableId="1932738444">
    <w:abstractNumId w:val="20"/>
  </w:num>
  <w:num w:numId="28" w16cid:durableId="1330211492">
    <w:abstractNumId w:val="22"/>
  </w:num>
  <w:num w:numId="29" w16cid:durableId="1219509722">
    <w:abstractNumId w:val="8"/>
  </w:num>
  <w:num w:numId="30" w16cid:durableId="1707217859">
    <w:abstractNumId w:val="16"/>
  </w:num>
  <w:num w:numId="31" w16cid:durableId="1672371066">
    <w:abstractNumId w:val="15"/>
  </w:num>
  <w:num w:numId="32" w16cid:durableId="707998204">
    <w:abstractNumId w:val="17"/>
  </w:num>
  <w:num w:numId="33" w16cid:durableId="1335767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EE"/>
    <w:rsid w:val="00000300"/>
    <w:rsid w:val="00010F2F"/>
    <w:rsid w:val="000160FB"/>
    <w:rsid w:val="000207B0"/>
    <w:rsid w:val="00021641"/>
    <w:rsid w:val="000335C1"/>
    <w:rsid w:val="00036C89"/>
    <w:rsid w:val="000431F4"/>
    <w:rsid w:val="00051D63"/>
    <w:rsid w:val="000526ED"/>
    <w:rsid w:val="00052AA1"/>
    <w:rsid w:val="00053BC7"/>
    <w:rsid w:val="0005401F"/>
    <w:rsid w:val="0005564D"/>
    <w:rsid w:val="00065C5E"/>
    <w:rsid w:val="00073439"/>
    <w:rsid w:val="00077B4D"/>
    <w:rsid w:val="000871CC"/>
    <w:rsid w:val="0009237A"/>
    <w:rsid w:val="000971A4"/>
    <w:rsid w:val="000A329F"/>
    <w:rsid w:val="000B1BD2"/>
    <w:rsid w:val="000B59E3"/>
    <w:rsid w:val="000B667B"/>
    <w:rsid w:val="000C6B9A"/>
    <w:rsid w:val="000C75A6"/>
    <w:rsid w:val="000D0AB1"/>
    <w:rsid w:val="000D2696"/>
    <w:rsid w:val="000D2C9A"/>
    <w:rsid w:val="000F638D"/>
    <w:rsid w:val="00112580"/>
    <w:rsid w:val="00116B29"/>
    <w:rsid w:val="00122637"/>
    <w:rsid w:val="00131E28"/>
    <w:rsid w:val="001364A6"/>
    <w:rsid w:val="00195FE9"/>
    <w:rsid w:val="00197867"/>
    <w:rsid w:val="001B4132"/>
    <w:rsid w:val="001B5B56"/>
    <w:rsid w:val="001D0CD5"/>
    <w:rsid w:val="001D24F6"/>
    <w:rsid w:val="001D2E18"/>
    <w:rsid w:val="001F4B27"/>
    <w:rsid w:val="001F7E81"/>
    <w:rsid w:val="00224074"/>
    <w:rsid w:val="0022499E"/>
    <w:rsid w:val="00232F35"/>
    <w:rsid w:val="00234FD6"/>
    <w:rsid w:val="00260E7E"/>
    <w:rsid w:val="002628A4"/>
    <w:rsid w:val="0026449B"/>
    <w:rsid w:val="00272391"/>
    <w:rsid w:val="00281350"/>
    <w:rsid w:val="00286D1F"/>
    <w:rsid w:val="002941F5"/>
    <w:rsid w:val="002B2BC8"/>
    <w:rsid w:val="002B3334"/>
    <w:rsid w:val="002C595D"/>
    <w:rsid w:val="002D1202"/>
    <w:rsid w:val="002E7D14"/>
    <w:rsid w:val="00306974"/>
    <w:rsid w:val="00310163"/>
    <w:rsid w:val="003125EB"/>
    <w:rsid w:val="00320D8B"/>
    <w:rsid w:val="00352236"/>
    <w:rsid w:val="003560C7"/>
    <w:rsid w:val="00356565"/>
    <w:rsid w:val="00363140"/>
    <w:rsid w:val="00364A5A"/>
    <w:rsid w:val="003A1FB1"/>
    <w:rsid w:val="003A632D"/>
    <w:rsid w:val="003B1D9F"/>
    <w:rsid w:val="003B33D6"/>
    <w:rsid w:val="003E1F1B"/>
    <w:rsid w:val="003E533C"/>
    <w:rsid w:val="00402EC8"/>
    <w:rsid w:val="004055A0"/>
    <w:rsid w:val="00405F7E"/>
    <w:rsid w:val="00422590"/>
    <w:rsid w:val="00425649"/>
    <w:rsid w:val="00433F71"/>
    <w:rsid w:val="00460F57"/>
    <w:rsid w:val="0046383D"/>
    <w:rsid w:val="00464F69"/>
    <w:rsid w:val="0047082B"/>
    <w:rsid w:val="00492C7C"/>
    <w:rsid w:val="004C1015"/>
    <w:rsid w:val="004D235D"/>
    <w:rsid w:val="004D4963"/>
    <w:rsid w:val="004D7FD2"/>
    <w:rsid w:val="004E2E4C"/>
    <w:rsid w:val="004E5E49"/>
    <w:rsid w:val="00502CEB"/>
    <w:rsid w:val="005037E6"/>
    <w:rsid w:val="00506191"/>
    <w:rsid w:val="00516451"/>
    <w:rsid w:val="0054223A"/>
    <w:rsid w:val="00563503"/>
    <w:rsid w:val="00563C0C"/>
    <w:rsid w:val="005641D1"/>
    <w:rsid w:val="00565057"/>
    <w:rsid w:val="00570AD1"/>
    <w:rsid w:val="00577057"/>
    <w:rsid w:val="00583157"/>
    <w:rsid w:val="00583C70"/>
    <w:rsid w:val="005841E7"/>
    <w:rsid w:val="00584653"/>
    <w:rsid w:val="00595A9E"/>
    <w:rsid w:val="00596FD7"/>
    <w:rsid w:val="005A00F8"/>
    <w:rsid w:val="005A1F21"/>
    <w:rsid w:val="005A3905"/>
    <w:rsid w:val="005C11FF"/>
    <w:rsid w:val="005D244C"/>
    <w:rsid w:val="005D4CDB"/>
    <w:rsid w:val="005D7EBA"/>
    <w:rsid w:val="00604027"/>
    <w:rsid w:val="00606691"/>
    <w:rsid w:val="00607A3A"/>
    <w:rsid w:val="00611787"/>
    <w:rsid w:val="0061704B"/>
    <w:rsid w:val="00617A8E"/>
    <w:rsid w:val="00621A23"/>
    <w:rsid w:val="006375A4"/>
    <w:rsid w:val="00643048"/>
    <w:rsid w:val="006650B6"/>
    <w:rsid w:val="00670D55"/>
    <w:rsid w:val="00673FE5"/>
    <w:rsid w:val="006808FB"/>
    <w:rsid w:val="00680FF3"/>
    <w:rsid w:val="006854B2"/>
    <w:rsid w:val="00685B8B"/>
    <w:rsid w:val="00685BD6"/>
    <w:rsid w:val="00693E4A"/>
    <w:rsid w:val="006A1843"/>
    <w:rsid w:val="006A62AB"/>
    <w:rsid w:val="006C4D50"/>
    <w:rsid w:val="006C55D0"/>
    <w:rsid w:val="006D18D2"/>
    <w:rsid w:val="006E39E1"/>
    <w:rsid w:val="006E4009"/>
    <w:rsid w:val="006E4EB8"/>
    <w:rsid w:val="006F1C02"/>
    <w:rsid w:val="00703695"/>
    <w:rsid w:val="007205B8"/>
    <w:rsid w:val="0072357A"/>
    <w:rsid w:val="00731A32"/>
    <w:rsid w:val="00731D73"/>
    <w:rsid w:val="00736C58"/>
    <w:rsid w:val="00741DB5"/>
    <w:rsid w:val="00751F26"/>
    <w:rsid w:val="0077097A"/>
    <w:rsid w:val="007827C0"/>
    <w:rsid w:val="00785F74"/>
    <w:rsid w:val="0079472C"/>
    <w:rsid w:val="00794B4C"/>
    <w:rsid w:val="007B058F"/>
    <w:rsid w:val="007C2453"/>
    <w:rsid w:val="007C43C7"/>
    <w:rsid w:val="007D596D"/>
    <w:rsid w:val="007E1D63"/>
    <w:rsid w:val="007E6C9B"/>
    <w:rsid w:val="007F029D"/>
    <w:rsid w:val="007F182C"/>
    <w:rsid w:val="00802261"/>
    <w:rsid w:val="008075AE"/>
    <w:rsid w:val="008265EC"/>
    <w:rsid w:val="008366ED"/>
    <w:rsid w:val="00840B76"/>
    <w:rsid w:val="008419B5"/>
    <w:rsid w:val="0084401C"/>
    <w:rsid w:val="008471DE"/>
    <w:rsid w:val="00861BCA"/>
    <w:rsid w:val="00862AC3"/>
    <w:rsid w:val="00863CBD"/>
    <w:rsid w:val="008645A2"/>
    <w:rsid w:val="00872529"/>
    <w:rsid w:val="00874FC4"/>
    <w:rsid w:val="00876E7B"/>
    <w:rsid w:val="00881401"/>
    <w:rsid w:val="00891CF9"/>
    <w:rsid w:val="008B0D28"/>
    <w:rsid w:val="008B132A"/>
    <w:rsid w:val="008B7D8D"/>
    <w:rsid w:val="00900E09"/>
    <w:rsid w:val="00902CD5"/>
    <w:rsid w:val="00903FC9"/>
    <w:rsid w:val="00911821"/>
    <w:rsid w:val="00922F1E"/>
    <w:rsid w:val="00950942"/>
    <w:rsid w:val="00950968"/>
    <w:rsid w:val="0095449A"/>
    <w:rsid w:val="009563C0"/>
    <w:rsid w:val="009636E0"/>
    <w:rsid w:val="00965494"/>
    <w:rsid w:val="00965B4C"/>
    <w:rsid w:val="009736B4"/>
    <w:rsid w:val="00981364"/>
    <w:rsid w:val="009973A1"/>
    <w:rsid w:val="00997F16"/>
    <w:rsid w:val="009A3FD0"/>
    <w:rsid w:val="009A468B"/>
    <w:rsid w:val="009C0788"/>
    <w:rsid w:val="009D6DDA"/>
    <w:rsid w:val="009E1FA4"/>
    <w:rsid w:val="009E215F"/>
    <w:rsid w:val="009E36EE"/>
    <w:rsid w:val="009F32D4"/>
    <w:rsid w:val="00A20E36"/>
    <w:rsid w:val="00A258E7"/>
    <w:rsid w:val="00A25FAD"/>
    <w:rsid w:val="00A27A1F"/>
    <w:rsid w:val="00A34638"/>
    <w:rsid w:val="00A4488B"/>
    <w:rsid w:val="00A45059"/>
    <w:rsid w:val="00A53F6D"/>
    <w:rsid w:val="00A56122"/>
    <w:rsid w:val="00A9445D"/>
    <w:rsid w:val="00AA200A"/>
    <w:rsid w:val="00AE43DC"/>
    <w:rsid w:val="00AE6DCF"/>
    <w:rsid w:val="00AF1720"/>
    <w:rsid w:val="00AF484A"/>
    <w:rsid w:val="00AF6140"/>
    <w:rsid w:val="00B1204F"/>
    <w:rsid w:val="00B15437"/>
    <w:rsid w:val="00B224D4"/>
    <w:rsid w:val="00B36849"/>
    <w:rsid w:val="00B523BE"/>
    <w:rsid w:val="00B57B11"/>
    <w:rsid w:val="00B65A59"/>
    <w:rsid w:val="00B76294"/>
    <w:rsid w:val="00B80401"/>
    <w:rsid w:val="00B87F9D"/>
    <w:rsid w:val="00B905D3"/>
    <w:rsid w:val="00B92043"/>
    <w:rsid w:val="00BC7FE2"/>
    <w:rsid w:val="00BD7342"/>
    <w:rsid w:val="00BE2A0B"/>
    <w:rsid w:val="00BE6B29"/>
    <w:rsid w:val="00BF2429"/>
    <w:rsid w:val="00BF3118"/>
    <w:rsid w:val="00C01163"/>
    <w:rsid w:val="00C02434"/>
    <w:rsid w:val="00C033BA"/>
    <w:rsid w:val="00C1238A"/>
    <w:rsid w:val="00C24D55"/>
    <w:rsid w:val="00C30866"/>
    <w:rsid w:val="00C3179E"/>
    <w:rsid w:val="00C3590D"/>
    <w:rsid w:val="00C43E3B"/>
    <w:rsid w:val="00C44249"/>
    <w:rsid w:val="00C52D71"/>
    <w:rsid w:val="00C541B2"/>
    <w:rsid w:val="00C55718"/>
    <w:rsid w:val="00C63637"/>
    <w:rsid w:val="00C741B4"/>
    <w:rsid w:val="00C76791"/>
    <w:rsid w:val="00C8699F"/>
    <w:rsid w:val="00C87A47"/>
    <w:rsid w:val="00CA0549"/>
    <w:rsid w:val="00CB7A9E"/>
    <w:rsid w:val="00CC1049"/>
    <w:rsid w:val="00CE248C"/>
    <w:rsid w:val="00CE3FFB"/>
    <w:rsid w:val="00CE661C"/>
    <w:rsid w:val="00CF662D"/>
    <w:rsid w:val="00CF6D97"/>
    <w:rsid w:val="00CF7572"/>
    <w:rsid w:val="00D07EA6"/>
    <w:rsid w:val="00D152F2"/>
    <w:rsid w:val="00D20887"/>
    <w:rsid w:val="00D256A4"/>
    <w:rsid w:val="00D40318"/>
    <w:rsid w:val="00D60351"/>
    <w:rsid w:val="00D733F4"/>
    <w:rsid w:val="00D76DDB"/>
    <w:rsid w:val="00D87A1C"/>
    <w:rsid w:val="00DB08F8"/>
    <w:rsid w:val="00DB2E8E"/>
    <w:rsid w:val="00DB6018"/>
    <w:rsid w:val="00DD014A"/>
    <w:rsid w:val="00DD28A1"/>
    <w:rsid w:val="00DE332B"/>
    <w:rsid w:val="00DE4B79"/>
    <w:rsid w:val="00DF1925"/>
    <w:rsid w:val="00DF2742"/>
    <w:rsid w:val="00DF2E03"/>
    <w:rsid w:val="00DF6B20"/>
    <w:rsid w:val="00E04951"/>
    <w:rsid w:val="00E1157A"/>
    <w:rsid w:val="00E1221F"/>
    <w:rsid w:val="00E40AFD"/>
    <w:rsid w:val="00E4313C"/>
    <w:rsid w:val="00E52CB7"/>
    <w:rsid w:val="00E53A0C"/>
    <w:rsid w:val="00E57006"/>
    <w:rsid w:val="00E611DB"/>
    <w:rsid w:val="00E632B6"/>
    <w:rsid w:val="00E63C5E"/>
    <w:rsid w:val="00E820B5"/>
    <w:rsid w:val="00E83CB2"/>
    <w:rsid w:val="00E85769"/>
    <w:rsid w:val="00EA7234"/>
    <w:rsid w:val="00EB058E"/>
    <w:rsid w:val="00EB327C"/>
    <w:rsid w:val="00EB51D0"/>
    <w:rsid w:val="00EF07DD"/>
    <w:rsid w:val="00EF474C"/>
    <w:rsid w:val="00F04743"/>
    <w:rsid w:val="00F05D30"/>
    <w:rsid w:val="00F134D6"/>
    <w:rsid w:val="00F2027E"/>
    <w:rsid w:val="00F2438C"/>
    <w:rsid w:val="00F33E04"/>
    <w:rsid w:val="00F507F5"/>
    <w:rsid w:val="00F523FD"/>
    <w:rsid w:val="00F543A8"/>
    <w:rsid w:val="00F72505"/>
    <w:rsid w:val="00F96630"/>
    <w:rsid w:val="00FA7273"/>
    <w:rsid w:val="00FB227B"/>
    <w:rsid w:val="00FB46AA"/>
    <w:rsid w:val="00FB7556"/>
    <w:rsid w:val="00FB7CF9"/>
    <w:rsid w:val="00FD6E62"/>
    <w:rsid w:val="00FD7F51"/>
    <w:rsid w:val="00FE150A"/>
    <w:rsid w:val="00FF74D1"/>
    <w:rsid w:val="7B6BBC68"/>
    <w:rsid w:val="AEFDDD02"/>
    <w:rsid w:val="FF7A3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46CDCD3"/>
  <w15:docId w15:val="{62C1FA7A-61F1-4B2D-95B0-BB47DDC6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Default"/>
    <w:next w:val="Normal"/>
    <w:link w:val="Titre1Car"/>
    <w:uiPriority w:val="9"/>
    <w:qFormat/>
    <w:pPr>
      <w:numPr>
        <w:numId w:val="1"/>
      </w:numPr>
      <w:spacing w:before="120" w:after="120"/>
      <w:jc w:val="both"/>
      <w:outlineLvl w:val="0"/>
    </w:pPr>
    <w:rPr>
      <w:rFonts w:ascii="Arial Narrow" w:hAnsi="Arial Narrow"/>
      <w:b/>
      <w:bCs/>
    </w:rPr>
  </w:style>
  <w:style w:type="paragraph" w:styleId="Titre2">
    <w:name w:val="heading 2"/>
    <w:basedOn w:val="Default"/>
    <w:link w:val="Titre2Car"/>
    <w:uiPriority w:val="9"/>
    <w:qFormat/>
    <w:pPr>
      <w:numPr>
        <w:ilvl w:val="1"/>
        <w:numId w:val="1"/>
      </w:numPr>
      <w:spacing w:before="120" w:after="120"/>
      <w:jc w:val="both"/>
      <w:outlineLvl w:val="1"/>
    </w:pPr>
    <w:rPr>
      <w:rFonts w:ascii="Arial Narrow" w:hAnsi="Arial Narrow"/>
      <w:b/>
      <w:bCs/>
    </w:rPr>
  </w:style>
  <w:style w:type="paragraph" w:styleId="Titre3">
    <w:name w:val="heading 3"/>
    <w:basedOn w:val="Normal"/>
    <w:next w:val="Normal"/>
    <w:link w:val="Titre3Car"/>
    <w:uiPriority w:val="9"/>
    <w:semiHidden/>
    <w:unhideWhenUsed/>
    <w:qFormat/>
    <w:pPr>
      <w:keepNext/>
      <w:spacing w:before="240" w:after="60"/>
      <w:outlineLvl w:val="2"/>
    </w:pPr>
    <w:rPr>
      <w:rFonts w:ascii="Aptos Display" w:eastAsia="Times New Roman" w:hAnsi="Aptos Display"/>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autoSpaceDE w:val="0"/>
      <w:autoSpaceDN w:val="0"/>
      <w:adjustRightInd w:val="0"/>
    </w:pPr>
    <w:rPr>
      <w:rFonts w:ascii="Arial" w:eastAsia="Helvetica Neue" w:hAnsi="Arial" w:cs="Arial"/>
      <w:color w:val="000000"/>
      <w:sz w:val="24"/>
      <w:szCs w:val="24"/>
      <w:lang w:eastAsia="en-US"/>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pPr>
      <w:suppressAutoHyphens/>
      <w:spacing w:after="0" w:line="240" w:lineRule="auto"/>
    </w:pPr>
    <w:rPr>
      <w:rFonts w:ascii="Times New Roman" w:eastAsia="Times New Roman" w:hAnsi="Times New Roman"/>
      <w:sz w:val="20"/>
      <w:szCs w:val="20"/>
      <w:lang w:eastAsia="ar-SA"/>
    </w:rPr>
  </w:style>
  <w:style w:type="paragraph" w:styleId="Objetducommentaire">
    <w:name w:val="annotation subject"/>
    <w:basedOn w:val="Commentaire"/>
    <w:next w:val="Commentaire"/>
    <w:link w:val="ObjetducommentaireCar"/>
    <w:uiPriority w:val="99"/>
    <w:semiHidden/>
    <w:unhideWhenUsed/>
    <w:pPr>
      <w:suppressAutoHyphens w:val="0"/>
      <w:spacing w:after="160" w:line="259" w:lineRule="auto"/>
    </w:pPr>
    <w:rPr>
      <w:rFonts w:ascii="Calibri" w:eastAsia="Calibri" w:hAnsi="Calibri"/>
      <w:b/>
      <w:bCs/>
      <w:lang w:eastAsia="en-U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styleId="Lienhypertexte">
    <w:name w:val="Hyperlink"/>
    <w:uiPriority w:val="99"/>
    <w:unhideWhenUsed/>
    <w:rPr>
      <w:color w:val="0563C1"/>
      <w:u w:val="single"/>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unhideWhenUsed/>
    <w:pPr>
      <w:suppressAutoHyphens/>
      <w:spacing w:after="100" w:line="240" w:lineRule="auto"/>
    </w:pPr>
    <w:rPr>
      <w:rFonts w:ascii="Times New Roman" w:eastAsia="Times New Roman" w:hAnsi="Times New Roman"/>
      <w:sz w:val="24"/>
      <w:szCs w:val="24"/>
      <w:lang w:eastAsia="ar-SA"/>
    </w:rPr>
  </w:style>
  <w:style w:type="paragraph" w:styleId="TM2">
    <w:name w:val="toc 2"/>
    <w:basedOn w:val="Normal"/>
    <w:next w:val="Normal"/>
    <w:uiPriority w:val="39"/>
    <w:unhideWhenUsed/>
    <w:pPr>
      <w:tabs>
        <w:tab w:val="right" w:leader="dot" w:pos="9487"/>
      </w:tabs>
      <w:suppressAutoHyphens/>
      <w:spacing w:after="100" w:line="240" w:lineRule="auto"/>
      <w:ind w:left="240"/>
    </w:pPr>
    <w:rPr>
      <w:rFonts w:ascii="Times New Roman" w:eastAsia="Times New Roman" w:hAnsi="Times New Roman"/>
      <w:sz w:val="24"/>
      <w:szCs w:val="24"/>
      <w:lang w:eastAsia="ar-SA"/>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qFormat/>
    <w:pPr>
      <w:ind w:left="720"/>
      <w:contextualSpacing/>
    </w:pPr>
  </w:style>
  <w:style w:type="paragraph" w:styleId="Sansinterligne">
    <w:name w:val="No Spacing"/>
    <w:link w:val="SansinterligneCar"/>
    <w:uiPriority w:val="1"/>
    <w:qFormat/>
    <w:rPr>
      <w:rFonts w:eastAsia="Times New Roman"/>
      <w:sz w:val="22"/>
      <w:szCs w:val="22"/>
    </w:rPr>
  </w:style>
  <w:style w:type="character" w:customStyle="1" w:styleId="SansinterligneCar">
    <w:name w:val="Sans interligne Car"/>
    <w:link w:val="Sansinterligne"/>
    <w:uiPriority w:val="1"/>
    <w:rPr>
      <w:rFonts w:eastAsia="Times New Roman"/>
    </w:rPr>
  </w:style>
  <w:style w:type="character" w:customStyle="1" w:styleId="a">
    <w:uiPriority w:val="99"/>
    <w:semiHidden/>
    <w:unhideWhenUsed/>
    <w:rPr>
      <w:color w:val="605E5C"/>
      <w:shd w:val="clear" w:color="auto" w:fill="E1DFDD"/>
    </w:rPr>
  </w:style>
  <w:style w:type="paragraph" w:customStyle="1" w:styleId="a0">
    <w:hidden/>
    <w:uiPriority w:val="99"/>
    <w:semiHidden/>
    <w:rPr>
      <w:sz w:val="22"/>
      <w:szCs w:val="22"/>
      <w:lang w:eastAsia="en-US"/>
    </w:rPr>
  </w:style>
  <w:style w:type="character" w:customStyle="1" w:styleId="ParagraphedelisteCar">
    <w:name w:val="Paragraphe de liste Car"/>
    <w:link w:val="Paragraphedeliste"/>
    <w:uiPriority w:val="34"/>
    <w:locked/>
    <w:rPr>
      <w:sz w:val="22"/>
      <w:szCs w:val="22"/>
      <w:lang w:eastAsia="en-US"/>
    </w:rPr>
  </w:style>
  <w:style w:type="character" w:customStyle="1" w:styleId="Titre1Car">
    <w:name w:val="Titre 1 Car"/>
    <w:link w:val="Titre1"/>
    <w:uiPriority w:val="9"/>
    <w:rPr>
      <w:rFonts w:ascii="Arial Narrow" w:eastAsia="Helvetica Neue" w:hAnsi="Arial Narrow" w:cs="Arial"/>
      <w:b/>
      <w:bCs/>
      <w:color w:val="000000"/>
      <w:sz w:val="24"/>
      <w:szCs w:val="24"/>
      <w:lang w:eastAsia="en-US"/>
    </w:rPr>
  </w:style>
  <w:style w:type="character" w:customStyle="1" w:styleId="Titre2Car">
    <w:name w:val="Titre 2 Car"/>
    <w:link w:val="Titre2"/>
    <w:uiPriority w:val="9"/>
    <w:rPr>
      <w:rFonts w:ascii="Arial Narrow" w:eastAsia="Helvetica Neue" w:hAnsi="Arial Narrow" w:cs="Arial"/>
      <w:b/>
      <w:bCs/>
      <w:color w:val="000000"/>
      <w:sz w:val="24"/>
      <w:szCs w:val="24"/>
      <w:lang w:eastAsia="en-US"/>
    </w:rPr>
  </w:style>
  <w:style w:type="paragraph" w:customStyle="1" w:styleId="BodyA">
    <w:name w:val="Body A"/>
    <w:rPr>
      <w:rFonts w:ascii="Helvetica Neue" w:eastAsia="Arial Unicode MS" w:hAnsi="Helvetica Neue" w:cs="Arial Unicode MS"/>
      <w:color w:val="000000"/>
      <w:sz w:val="22"/>
      <w:szCs w:val="22"/>
      <w:u w:color="000000"/>
      <w:lang w:val="pt-PT" w:eastAsia="en-US"/>
    </w:rPr>
  </w:style>
  <w:style w:type="paragraph" w:customStyle="1" w:styleId="a1">
    <w:basedOn w:val="Titre1"/>
    <w:next w:val="Normal"/>
    <w:uiPriority w:val="39"/>
    <w:unhideWhenUsed/>
    <w:qFormat/>
    <w:pPr>
      <w:spacing w:line="259" w:lineRule="auto"/>
      <w:outlineLvl w:val="9"/>
    </w:pPr>
    <w:rPr>
      <w:lang w:val="en-GB" w:eastAsia="en-GB"/>
    </w:rPr>
  </w:style>
  <w:style w:type="paragraph" w:customStyle="1" w:styleId="StyleParagraph9pt1">
    <w:name w:val="Style Paragraph + 9 pt1"/>
    <w:basedOn w:val="Normal"/>
    <w:link w:val="StyleParagraph9pt1Car"/>
    <w:pPr>
      <w:spacing w:before="200" w:after="0" w:line="240" w:lineRule="auto"/>
      <w:jc w:val="both"/>
    </w:pPr>
    <w:rPr>
      <w:rFonts w:ascii="Arial" w:eastAsia="Times New Roman" w:hAnsi="Arial" w:cs="Arial"/>
      <w:spacing w:val="-4"/>
      <w:sz w:val="20"/>
      <w:szCs w:val="20"/>
    </w:rPr>
  </w:style>
  <w:style w:type="character" w:customStyle="1" w:styleId="StyleParagraph9pt1Car">
    <w:name w:val="Style Paragraph + 9 pt1 Car"/>
    <w:link w:val="StyleParagraph9pt1"/>
    <w:rPr>
      <w:rFonts w:ascii="Arial" w:eastAsia="Times New Roman" w:hAnsi="Arial" w:cs="Arial"/>
      <w:spacing w:val="-4"/>
      <w:lang w:eastAsia="en-US"/>
    </w:rPr>
  </w:style>
  <w:style w:type="character" w:customStyle="1" w:styleId="CommentaireCar">
    <w:name w:val="Commentaire Car"/>
    <w:link w:val="Commentaire"/>
    <w:uiPriority w:val="99"/>
    <w:rPr>
      <w:rFonts w:ascii="Times New Roman" w:eastAsia="Times New Roman" w:hAnsi="Times New Roman"/>
      <w:lang w:eastAsia="ar-SA"/>
    </w:rPr>
  </w:style>
  <w:style w:type="character" w:customStyle="1" w:styleId="ObjetducommentaireCar">
    <w:name w:val="Objet du commentaire Car"/>
    <w:link w:val="Objetducommentaire"/>
    <w:uiPriority w:val="99"/>
    <w:semiHidden/>
    <w:rPr>
      <w:rFonts w:ascii="Times New Roman" w:eastAsia="Times New Roman" w:hAnsi="Times New Roman"/>
      <w:b/>
      <w:bCs/>
      <w:lang w:val="fr-FR" w:eastAsia="en-US"/>
    </w:rPr>
  </w:style>
  <w:style w:type="character" w:customStyle="1" w:styleId="Titre3Car">
    <w:name w:val="Titre 3 Car"/>
    <w:link w:val="Titre3"/>
    <w:uiPriority w:val="9"/>
    <w:semiHidden/>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m-uemoa.org" TargetMode="External"/><Relationship Id="rId4" Type="http://schemas.openxmlformats.org/officeDocument/2006/relationships/settings" Target="settings.xml"/><Relationship Id="rId9" Type="http://schemas.openxmlformats.org/officeDocument/2006/relationships/hyperlink" Target="mailto:offres@gim-uemo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9861</Words>
  <Characters>44181</Characters>
  <Application>Microsoft Office Word</Application>
  <DocSecurity>0</DocSecurity>
  <Lines>22090</Lines>
  <Paragraphs>3602</Paragraphs>
  <ScaleCrop>false</ScaleCrop>
  <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Michelle Somran OUATTARA</dc:creator>
  <cp:lastModifiedBy>solange DASYLVA</cp:lastModifiedBy>
  <cp:revision>2</cp:revision>
  <cp:lastPrinted>2026-06-08T15:45:00Z</cp:lastPrinted>
  <dcterms:created xsi:type="dcterms:W3CDTF">2026-06-08T15:46:00Z</dcterms:created>
  <dcterms:modified xsi:type="dcterms:W3CDTF">2026-06-08T15:46:00Z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0x010100CA14728AE664BF479AC27C642304E5E7</vt:lpwstr>
  </property>
  <property fmtid="{D5CDD505-2E9C-101B-9397-08002B2CF9AE}" pid="3" name="KSOProductBuildVer">
    <vt:lpwstr>1033-6.15.0.8733</vt:lpwstr>
  </property>
  <property fmtid="{D5CDD505-2E9C-101B-9397-08002B2CF9AE}" pid="4" name="ICV">
    <vt:lpwstr>1AA66E409248D12C092F216AA9DCEDBF_43</vt:lpwstr>
  </property>
</Properties>
</file>